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</w:pPr>
      <w:r>
        <w:rPr>
          <w:rFonts w:eastAsia="Times New Roman"/>
          <w:sz w:val="28"/>
          <w:szCs w:val="28"/>
          <w:lang w:eastAsia="ru-RU"/>
        </w:rPr>
        <w:t xml:space="preserve"> </w:t>
      </w:r>
      <w:r/>
    </w:p>
    <w:p>
      <w:pPr>
        <w:pStyle w:val="883"/>
      </w:pPr>
      <w:r>
        <w:t xml:space="preserve"> </w:t>
      </w:r>
      <w:r/>
    </w:p>
    <w:p>
      <w:pPr>
        <w:ind w:right="-1"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Пути преодоления и профилактики учебной неуспешности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right="-1" w:firstLine="709"/>
        <w:jc w:val="center"/>
        <w:spacing w:after="0"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(МКОУ Верхурюмская СОШ Здвинского района)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</w:p>
    <w:p>
      <w:pPr>
        <w:ind w:right="-1"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Калиниченко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Ольга Николаевна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</w:p>
    <w:p>
      <w:pPr>
        <w:ind w:right="-1"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директор школы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</w:p>
    <w:p>
      <w:pPr>
        <w:ind w:right="-1" w:firstLine="709"/>
        <w:jc w:val="right"/>
        <w:spacing w:after="0" w:line="360" w:lineRule="auto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Троценко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Ольга Юрьевна,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</w:r>
    </w:p>
    <w:p>
      <w:pPr>
        <w:ind w:right="-1"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заместитель директора по УВР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Особенность МКОУ Верхурюмской СОШ в том, что она является сельской малокомплектной школой. На занятия ежедневно подвозится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человек из соседнего села Нижний Урюм для освоения программ основного и среднего общего образования.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округе школы расположены: дом престарелых, СДК (сельский дом культуры), ФАП, детский сад и административное здание (администрация сельского совета и руководство АО «Урюмское»).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Акционерное общество (развито животноводство и полеводство) является одним из передовых сельскохозяйственных организаций в районе.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хозяйстве идет отбор кадров, поэтому присутствует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текучесть населения, а в школе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дети выбывают и прибывают в течение всего учебного года.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целом сельскую школу, детский сад и дом культуры можно рассматривать как единый центр культурной жизни села.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базе СДК и школы осуществляют свою работу детские клубы и кружки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В рамках дополнительного образования обучающиеся занимаются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обототехник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«Туристско-краеведческ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круж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ке, хоре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театре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Возможность детей заниматься спортом реализуется через дополнительное образование физкультурно-спортивного направления. Обучающиеся участвуют в спортивных соревнованиях школы и Здвинского района, занимая при этом призовые места.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школе работают квалифицированные педагоги. 100% учителей прошли курсы повышения квалификации, 57% имеют высшую квалификационную категорию. Школа на 100% укомплектована кадрами, в наличии педагог-психолог, педагог-логопед, социальный педагог, работает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ППк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нашей школе есть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проблем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, а именно: школа по результатам ВПР оказалась в «группе риска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по преодолению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учебной неуспешности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Дети разные: одни быстро усваивают материал, другим нужно время, чтобы 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понял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пройденный материал, третьим очень сложно усвоить даже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самый простой материал. Поэтому в любой образовательной организации встречается проблема школьной неуспешности.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Администрация и творческая группа поставил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перед педагогическим коллективом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задачи, верное решение которых позволило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преодолеть проблемную зону школы.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Прежде всего, проанализировали: в чем заключается неуспешность обучающихся нашей школы и причины ее присутствия. Проанализировали успешность каждого ученика и определили, что есть дети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неуспевающие 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неуспешные.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неуспешным мы отнесли тех обучающихся, которые по каким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либо причинам не реализовывали свой внутренний потенциал. В рамках проекта образования «Успех каждого ребенка»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footnoteReference w:id="2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для таких детей был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разработаны индивидуальные образовательные маршруты с целью предоставления им способов и вариантов организации своей деятельности по алгоритму, при поддержке и сопровождении педагогов.  Исходя из их целей, интересов, личностных и профессиональных планов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озданы условия для разнообразной деятельности обучающихся, в том числе, проектной, исследовательской, творческой, игровой и возможностью организации самообразования как продолжения организованного образовательного процесса через дополнительное образование.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Неуспевающие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обучающиеся, у которых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наблюдается несоответствие подготовки обязательным требованиям школы в усвоении знаний, развитии умений и навыков, формировании опыта творческой деятельности и воспитанности познавательных отношений. По каждому неуспевающему и слабоуспевающему определили: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факторы неуспеваемости;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причины неуспеваемости;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типы неуспевающих;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признаки неуспеваемости;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способы мониторинга неуспеваемости.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Составили программу работы с обучающимися, испытывающи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трудности в обучении, выстроив адресные образовательные маршруты для каждого из них.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 xml:space="preserve">программы: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успешного обучения и повышения мотивации школьников к учебной деятельности, оказание адресной психолого-педагогической поддержки обучающимся с рисками учебной неуспешности</w:t>
      </w:r>
      <w:r>
        <w:rPr>
          <w:rFonts w:ascii="Times New Roman" w:hAnsi="Times New Roman" w:cs="Times New Roman"/>
          <w:sz w:val="28"/>
          <w:szCs w:val="28"/>
        </w:rPr>
        <w:t xml:space="preserve">, добиться</w:t>
      </w:r>
      <w:r>
        <w:rPr>
          <w:rFonts w:ascii="Times New Roman" w:hAnsi="Times New Roman" w:cs="Times New Roman"/>
          <w:sz w:val="28"/>
          <w:szCs w:val="28"/>
        </w:rPr>
        <w:t xml:space="preserve"> 100% успеваемости по школе к 2026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Одним из главных условий предупреждения и преодоления неуспешности является совместная работа всех участников образовательных отношений. В рамках этого основной организационной формой, в которой </w:t>
      </w:r>
      <w:r>
        <w:rPr>
          <w:rFonts w:ascii="Times New Roman" w:hAnsi="Times New Roman" w:cs="Times New Roman"/>
          <w:sz w:val="28"/>
          <w:szCs w:val="28"/>
        </w:rPr>
        <w:t xml:space="preserve">создается и планируется единая психолого-педагогическая стратегия и индивидуальная программа коррекции и развития для каждого ученика, явл</w:t>
      </w:r>
      <w:r>
        <w:rPr>
          <w:rFonts w:ascii="Times New Roman" w:hAnsi="Times New Roman" w:cs="Times New Roman"/>
          <w:sz w:val="28"/>
          <w:szCs w:val="28"/>
        </w:rPr>
        <w:t xml:space="preserve">яется психолого-педагогический консилиум. Это позволяет объединить информацию об отдельных элементах психологического развития ребенка. Учителя, классные руководители и педагог-психолог предоставляют информацию о предполагаемых причинах трудностей учеников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Реализация данного проекта позволи</w:t>
      </w:r>
      <w:r>
        <w:rPr>
          <w:rFonts w:ascii="Times New Roman" w:hAnsi="Times New Roman" w:eastAsia="Calibri" w:cs="Times New Roman"/>
          <w:sz w:val="28"/>
          <w:szCs w:val="28"/>
        </w:rPr>
        <w:t xml:space="preserve">ла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сформировать единое образовательное пространство (обучение и воспитание),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ыстрои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свою систему работы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школы по направлениям проекта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Школа Минпросвещения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России».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vertAlign w:val="superscript"/>
        </w:rPr>
      </w:pPr>
      <w:r/>
      <w:bookmarkStart w:id="0" w:name="_Hlk190808475"/>
      <w:r>
        <w:rPr>
          <w:rFonts w:ascii="Times New Roman" w:hAnsi="Times New Roman" w:eastAsia="Calibri" w:cs="Times New Roman"/>
          <w:sz w:val="28"/>
          <w:szCs w:val="28"/>
        </w:rPr>
        <w:t xml:space="preserve">Школа Минпросвещения России </w:t>
      </w:r>
      <w:bookmarkEnd w:id="0"/>
      <w:r>
        <w:rPr>
          <w:rFonts w:ascii="Times New Roman" w:hAnsi="Times New Roman" w:eastAsia="Calibri" w:cs="Times New Roman"/>
          <w:sz w:val="28"/>
          <w:szCs w:val="28"/>
        </w:rPr>
        <w:t xml:space="preserve">– центр образования, воспитания и просвещени</w:t>
      </w:r>
      <w:r>
        <w:rPr>
          <w:rFonts w:ascii="Times New Roman" w:hAnsi="Times New Roman" w:eastAsia="Calibri" w:cs="Times New Roman"/>
          <w:sz w:val="28"/>
          <w:szCs w:val="28"/>
        </w:rPr>
        <w:t xml:space="preserve">я, объединяющий территориально и духовно детей и взрослых, разные поколения, разные профессии, разные социальные группы для обретения смысла жизни через познание, созидание, нравственные ценности для творческого построения будущего каждого и всех в России.</w:t>
      </w:r>
      <w:r>
        <w:rPr>
          <w:rFonts w:ascii="Times New Roman" w:hAnsi="Times New Roman" w:eastAsia="Calibri" w:cs="Times New Roman"/>
          <w:sz w:val="28"/>
          <w:szCs w:val="28"/>
          <w:vertAlign w:val="superscript"/>
        </w:rPr>
        <w:t xml:space="preserve">[1]</w:t>
      </w:r>
      <w:r>
        <w:rPr>
          <w:rFonts w:ascii="Times New Roman" w:hAnsi="Times New Roman" w:eastAsia="Calibri" w:cs="Times New Roman"/>
          <w:sz w:val="28"/>
          <w:szCs w:val="28"/>
          <w:vertAlign w:val="superscript"/>
        </w:rPr>
      </w:r>
      <w:r>
        <w:rPr>
          <w:rFonts w:ascii="Times New Roman" w:hAnsi="Times New Roman" w:eastAsia="Calibri" w:cs="Times New Roman"/>
          <w:sz w:val="28"/>
          <w:szCs w:val="28"/>
          <w:vertAlign w:val="superscript"/>
        </w:rPr>
      </w:r>
    </w:p>
    <w:p>
      <w:pPr>
        <w:pStyle w:val="884"/>
        <w:numPr>
          <w:ilvl w:val="0"/>
          <w:numId w:val="2"/>
        </w:numPr>
        <w:ind w:left="0" w:right="-1" w:firstLine="709"/>
        <w:jc w:val="both"/>
        <w:spacing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Доступное образование для каждого ребенка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</w:p>
    <w:p>
      <w:pPr>
        <w:ind w:right="-1" w:firstLine="709"/>
        <w:jc w:val="both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Принципиально важно, чтобы на каждом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уроке ребенок переживал радость открытия, чтобы у него формировались вера в свои силы и познавательный интерес. Интерес и успешность обучения — вот те основные параметры, которые определяют полноценное интеллектуальное и физиологическое развитие ребенка.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Успешность каждого ученика, для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педагогов нашей школы</w:t>
      </w:r>
      <w:r>
        <w:rPr>
          <w:rFonts w:ascii="Times New Roman" w:hAnsi="Times New Roman" w:eastAsia="Calibri" w:cs="Times New Roman"/>
          <w:sz w:val="28"/>
          <w:szCs w:val="28"/>
        </w:rPr>
        <w:t xml:space="preserve"> - приоритет.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-1" w:firstLine="709"/>
        <w:jc w:val="both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Главное в работе с такими детьми замотивировать их учиться. Мотив - побуждение к активности в определенном направлении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а значит успешности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этом случае важна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грамотн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урока в плане распределения времени на нем, отбора содержания материала и применения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новых технологий,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 и методов обучения, которые позволяли бы усваивать обучающимися учебный материал.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основе каждого урока лежит системно-деятельностный подход. Обучающиеся сами формулируют тему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цели урока через использование учителем на уроке проблемных ситуаций и другое. Каждый этап урока имеет цель и по окончании его обязательно подводится итог. Через работу в группах формируются коммуникативные учебные умение. Формирующее оценивание позволяет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повысить самооценку обучающегося.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Формированию функциональной грамотности способствует использование на уроках и во внеурочное время технологии проектной деятельности, которая позволяет формированию регулятивных, познавательных и коммуникативных УУД.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Учителя школы применяют на уроке современные технологии, различные активные методы обучения, различные формы и приемы.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школе обучаются дети со статусом ОВЗ инклюзивно в общеобразовательном классе. Для них на уроке создаются специальные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условия создающие комфортные условия для получения знаний и ощущения ситуации успеха.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школе ведется методическая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рамках которой организовано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взаимопосещение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уроков, с целью обмена опытом между коллегами, оказание помощи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(применяется кураторская методика)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Организовано наставничество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84"/>
        <w:numPr>
          <w:ilvl w:val="0"/>
          <w:numId w:val="2"/>
        </w:numPr>
        <w:ind w:left="0" w:right="-1"/>
        <w:jc w:val="both"/>
        <w:spacing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Здоровьесбережение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</w:p>
    <w:p>
      <w:pPr>
        <w:pStyle w:val="885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Педагогами применяются формы и методы обучения, которые позволяют усваивать обучающимися учебный материал не испытывая перегрузки, тем самым </w:t>
      </w:r>
      <w:r>
        <w:rPr>
          <w:sz w:val="28"/>
          <w:szCs w:val="28"/>
        </w:rPr>
        <w:t xml:space="preserve">реализуют технологию здоровьесбережения для учеников. Слабое здоровье (частые пропуски уроков) – одна из причин неуспешности ребенка. Этому уделяем особое внимание. Администрация школы ведет контроль за дозированием домашнего задания. На уроках проводятся </w:t>
      </w:r>
      <w:r>
        <w:rPr>
          <w:sz w:val="28"/>
          <w:szCs w:val="28"/>
        </w:rPr>
        <w:t xml:space="preserve">физминутки</w:t>
      </w:r>
      <w:r>
        <w:rPr>
          <w:sz w:val="28"/>
          <w:szCs w:val="28"/>
        </w:rPr>
        <w:t xml:space="preserve">. Двигательная нагрузка нормируется за счет кружковой работу </w:t>
      </w:r>
      <w:r>
        <w:rPr>
          <w:sz w:val="28"/>
          <w:szCs w:val="28"/>
        </w:rPr>
        <w:t xml:space="preserve">спортино</w:t>
      </w:r>
      <w:r>
        <w:rPr>
          <w:sz w:val="28"/>
          <w:szCs w:val="28"/>
        </w:rPr>
        <w:t xml:space="preserve">- оздоровительного направления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Соблюдение </w:t>
      </w:r>
      <w:r>
        <w:rPr>
          <w:sz w:val="28"/>
          <w:szCs w:val="28"/>
        </w:rPr>
        <w:t xml:space="preserve">САНПИНа</w:t>
      </w:r>
      <w:r>
        <w:rPr>
          <w:sz w:val="28"/>
          <w:szCs w:val="28"/>
        </w:rPr>
        <w:t xml:space="preserve"> и другое, позволяющее сохранить здоровье детей. Здоровый ребенок – успешный ребенок.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884"/>
        <w:numPr>
          <w:ilvl w:val="0"/>
          <w:numId w:val="2"/>
        </w:numPr>
        <w:ind w:left="0" w:right="-1"/>
        <w:jc w:val="both"/>
        <w:spacing w:after="0"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Творчество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</w:p>
    <w:p>
      <w:pPr>
        <w:pStyle w:val="884"/>
        <w:ind w:left="0"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Обучающиеся принимают участие в творческих делах класса и школы, конкурсах, проектах.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Участие в творческих делах мотивирует обучающихся на получение знаний и их применение.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Учащиеся принимают участие в творческих конкурсах.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283"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Таблица1 Участие обучающихся в значимых конкурсах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vertAlign w:val="superscript"/>
          <w:lang w:val="en-US"/>
        </w:rPr>
        <w:t xml:space="preserve">[2]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</w:p>
    <w:tbl>
      <w:tblPr>
        <w:tblStyle w:val="886"/>
        <w:tblW w:w="9067" w:type="dxa"/>
        <w:tblLayout w:type="fixed"/>
        <w:tblLook w:val="04A0" w:firstRow="1" w:lastRow="0" w:firstColumn="1" w:lastColumn="0" w:noHBand="0" w:noVBand="1"/>
      </w:tblPr>
      <w:tblGrid>
        <w:gridCol w:w="1829"/>
        <w:gridCol w:w="3553"/>
        <w:gridCol w:w="1984"/>
        <w:gridCol w:w="1701"/>
      </w:tblGrid>
      <w:tr>
        <w:tblPrEx/>
        <w:trPr/>
        <w:tc>
          <w:tcPr>
            <w:tcW w:w="1829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ФИ, класс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Конкурс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Уровень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Место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Коротеева Ульяна,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 класс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ВКС «Без срока давности»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Всероссийский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 место, муниципальный;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Диплом, региональный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Коротеева Ульяна,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 класс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ВКС «Без срока давности», номинация «Память, опаленная войной»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Региональный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Диплом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Конзачакова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Ульяна, 5 класс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Всероссийский конкурс юных чтецов «Живая классика»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Всероссийский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 место, муниципальный;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региональный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Абдрахманова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Лилия, 6 класс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Всероссийский конкурс юных чтецов «Живая классика»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Всероссийский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Участник, муниципальный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Марьяненко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Дарья, 9 класс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Ралко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Алина, 10 класс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Ралко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Карина, 10 класс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Районная научно-практическая конференция по проектной деятельности для педагогов и обучающихся «Открой в себе ученого»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Сертификаты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82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Калиниченко М.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355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НТО юниор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Всероссийский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Сертификат участника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82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Шевцов Д.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355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НТО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Всероссийский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Победитель I тура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82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Шевцов Д.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355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Королевский гамбит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Всероссийский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Диплом за участие в полуфинале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82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Шевцов Д., Яновский А.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355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АгроНТРИ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Всероссийский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сертификат участника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82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Яновский А.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355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АгроНТРИ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Всероссийского конкурса АгроНТРИ-2024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диплом победителя заочного этапа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Марченко Виктория, 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олимпиада по истории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 Женщина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годы Великой Отечественной войны».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Всероссийская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SKILLS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-олимпиада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степени.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Головырина 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АгроНТРИ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– 2024»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Всероссийский конкурс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Участие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 личном первенстве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Марьяненко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«Я ищу затерянное время»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Межмуниципальная дистанционная Квест – игра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Дипломант 1 степени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pStyle w:val="884"/>
        <w:ind w:left="0"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84"/>
        <w:numPr>
          <w:ilvl w:val="0"/>
          <w:numId w:val="2"/>
        </w:numPr>
        <w:ind w:left="0" w:right="-1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Воспитание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школе работает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РДДМ — Общероссийское общественно-государственное движение детей и молодежи (Российское Движение детей и молодёжи (РДДМ)) — это единое движение, создающееся совместно с детьми.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 Движения - подготовка детей и молодежи к полноценной жизни в об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ществе, включая формирование их мировоззрения на основе традиционных российских духовных и нравственных ценностей, а также развитие у детей и молодежи общественно значимой и творческой активности, высоких нравственных качеств, любви и уважения к Отечеству.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школе активно ведется работа в различных направлениях РДДМ: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Ребята принимают активное участие в конкурсах, верификацию на сайте Движения первых (РДДМ) прошли 49 активистов.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Активисты Движения Первых приняли участие во многих мероприятиях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ежрайонная профильная смена "Мы - Первые"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униципальный этап Регионального чемпионата по первой помощи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униципальный этап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Регионалного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конкурса «Родители. Дети. Школа»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Всероссийские уроки мужества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Всероссийская программа «Мы - граждане России»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Военно-патриотическая игра «Зарница 2.0»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Всероссийский проект «Хранители истории»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Всероссийский проект «Юннаты Первых»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иноуроки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Первых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Всероссийская акция «Классика Победы»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Всероссийская акция «Письмо солдату»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Классные встречи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Всероссийская акция «Российский детский Дед Мороз»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Фестиваль «Всей семьей»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Акции в рамках Движения Первых.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Организована и ведется работа отрядов «Волонтеры» и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Юнармия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ЮИД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вижени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«Орлята России»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рамках всех направлений ведется планомерная работа, направленная на развитие творческого потенциала школьников, духовно-нравственного развития, социализации, профессиональной ориентации, формирование экологической культуры.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84"/>
        <w:numPr>
          <w:ilvl w:val="0"/>
          <w:numId w:val="2"/>
        </w:numPr>
        <w:ind w:left="0" w:right="-1"/>
        <w:jc w:val="both"/>
        <w:spacing w:after="0"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Профориентация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школе реализуется программа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«Моя Россия – новые горизонты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для обучающихся 6 – 11 классов, курс «Технология профессиональной карьеры. Потребности рынка труда НСО» для 10 и 11 классов. В рамках классных часов проводятся беседы.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Уклон делаем на рабочие профессии. Для этого организуем экскурсии на производство, приглашаем рабочих акционерного общества на классные часы, знакомим детей с достижениями их родителей.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Ежегодно обучающиеся делают осознанный выбор профессии при поступлении в учебные заведения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keepNext/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94790" cy="1121410"/>
                <wp:effectExtent l="0" t="0" r="0" b="254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49479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17.70pt;height:88.3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57275" cy="1129030"/>
                <wp:effectExtent l="0" t="0" r="9525" b="0"/>
                <wp:docPr id="2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57275" cy="112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83.25pt;height:88.9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67790" cy="1113155"/>
                <wp:effectExtent l="0" t="0" r="381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367790" cy="1113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07.70pt;height:87.6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88415" cy="1160780"/>
                <wp:effectExtent l="0" t="0" r="6985" b="1270"/>
                <wp:docPr id="4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288415" cy="1160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01.45pt;height:91.4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0"/>
          <w:szCs w:val="20"/>
          <w:lang w:eastAsia="ru-RU"/>
        </w:rPr>
        <w:t xml:space="preserve">Рисунок </w:t>
      </w:r>
      <w:r>
        <w:rPr>
          <w:rFonts w:ascii="Times New Roman" w:hAnsi="Times New Roman" w:eastAsia="Times New Roman" w:cs="Times New Roman"/>
          <w:bCs/>
          <w:i/>
          <w:sz w:val="20"/>
          <w:szCs w:val="20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Cs/>
          <w:i/>
          <w:sz w:val="20"/>
          <w:szCs w:val="20"/>
          <w:lang w:eastAsia="ru-RU"/>
        </w:rPr>
        <w:t xml:space="preserve">. Экскурсии на производственные участки АО «Урюмское»</w:t>
      </w:r>
      <w:r>
        <w:rPr>
          <w:rFonts w:ascii="Times New Roman" w:hAnsi="Times New Roman" w:eastAsia="Times New Roman" w:cs="Times New Roman"/>
          <w:bCs/>
          <w:i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i/>
          <w:sz w:val="20"/>
          <w:szCs w:val="20"/>
          <w:lang w:eastAsia="ru-RU"/>
        </w:rPr>
      </w:r>
    </w:p>
    <w:p>
      <w:pPr>
        <w:ind w:firstLine="709"/>
        <w:jc w:val="center"/>
        <w:keepNext/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58290" cy="1025525"/>
                <wp:effectExtent l="0" t="0" r="3810" b="3175"/>
                <wp:docPr id="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558290" cy="102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22.70pt;height:80.75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0"/>
          <w:szCs w:val="20"/>
          <w:lang w:eastAsia="ru-RU"/>
        </w:rPr>
        <w:t xml:space="preserve">Рисунок </w:t>
      </w:r>
      <w:r>
        <w:rPr>
          <w:rFonts w:ascii="Times New Roman" w:hAnsi="Times New Roman" w:eastAsia="Times New Roman" w:cs="Times New Roman"/>
          <w:bCs/>
          <w:i/>
          <w:sz w:val="20"/>
          <w:szCs w:val="20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Cs/>
          <w:i/>
          <w:sz w:val="20"/>
          <w:szCs w:val="20"/>
          <w:lang w:eastAsia="ru-RU"/>
        </w:rPr>
        <w:t xml:space="preserve">. Знакомство детей с достижениями их родителей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84"/>
        <w:numPr>
          <w:ilvl w:val="0"/>
          <w:numId w:val="2"/>
        </w:numPr>
        <w:ind w:left="0" w:right="-1"/>
        <w:jc w:val="both"/>
        <w:spacing w:after="0"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Школьный климат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</w:p>
    <w:p>
      <w:pPr>
        <w:pStyle w:val="883"/>
        <w:ind w:firstLine="709"/>
        <w:tabs>
          <w:tab w:val="left" w:pos="709" w:leader="none"/>
        </w:tabs>
      </w:pPr>
      <w:r>
        <w:rPr>
          <w:rFonts w:eastAsia="Times New Roman"/>
          <w:sz w:val="28"/>
          <w:szCs w:val="28"/>
          <w:lang w:eastAsia="ru-RU"/>
        </w:rPr>
        <w:t xml:space="preserve">В рамках</w:t>
      </w:r>
      <w:r>
        <w:t xml:space="preserve"> </w:t>
      </w:r>
      <w:r>
        <w:rPr>
          <w:sz w:val="28"/>
          <w:szCs w:val="28"/>
        </w:rPr>
        <w:t xml:space="preserve">«Наставнической лиг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рамках реализации проекта «Школа Минпросвещения России»</w:t>
      </w:r>
      <w:r>
        <w:rPr>
          <w:sz w:val="28"/>
          <w:szCs w:val="28"/>
        </w:rPr>
        <w:t xml:space="preserve"> на базе нашей школы состоялся семинар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на котором </w:t>
      </w:r>
      <w:r>
        <w:rPr>
          <w:sz w:val="28"/>
          <w:szCs w:val="28"/>
        </w:rPr>
        <w:t xml:space="preserve">педагоги школы поделились опытом по ключевому условию «Школьный климат».</w:t>
      </w:r>
      <w:r/>
    </w:p>
    <w:p>
      <w:pPr>
        <w:pStyle w:val="884"/>
        <w:ind w:left="0" w:right="-1" w:firstLine="50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Коллеги увидели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как реализуется это условие 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уроке географии, классном часе «Семейные ценности», мастер классе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 нам научиться мириться, не злиться и жить дружно» (работа комиссии по примирению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медиации),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заседании клуба «Юного переговорщика»,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внеклассных мероприятиях: работа «школьной Думы»,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Эколята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«Орлята России», хора.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Школа создает комфортные условия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всех членов образовательного процесса (педагогов, обучающихся и их родителей)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учебном процессе и во время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проведения внеклассных мероприятиях. Как следствие,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отсутствует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буллинг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школе благодаря профилактической работ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комиссии по примирению, работе классных руководителей по сплочению классных коллективов.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Подводя итог, делаем вывод, что описанная система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аботы школы по решению практики работы с низко мотивированными и слабоуспевающими обучающимися  является эффективной. Этот вывод доказан реализацией данной педагогической системы, позволившей обучающимся в преодолении учебной неуспешности, самоопределении.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right="-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100% обучающихся успешно получают аттестаты, осознанно делают выбор, поступают в учебные заведения, а по их окончании работают по специальности.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стается самым сложным сегодня?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Это недопущение рисков: снижение качества образования. Социальный фактор исключить не можем.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значит риски возможны. Большое внимание будем уделять работе с родителями. Педагогический коллектив школы особое внимание уделяет детям, находящимся в трудных условиях, детям с ОВЗ,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 которых папа находятся на СВО,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трудновоспитуемым.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  <w:lang w:eastAsia="ru-RU"/>
        </w:rPr>
        <w:t xml:space="preserve">Педагогический коллектив не собирается останавливаться на достигнутом.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планах нашей школы работа по преемственности в обучении (детский сад – школа – НОО - ООО).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Список литературы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3"/>
        </w:numPr>
        <w:contextualSpacing/>
        <w:ind w:left="0" w:hanging="283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«Школа Минпросвещения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России»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3"/>
        </w:numPr>
        <w:contextualSpacing/>
        <w:ind w:left="0" w:hanging="283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Участие в конкурсах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АгроНТРИ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и НТО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hyperlink r:id="rId16" w:tooltip="https://vk.com/wall-192545050_1157" w:history="1">
        <w:r>
          <w:rPr>
            <w:rStyle w:val="860"/>
            <w:rFonts w:ascii="Times New Roman" w:hAnsi="Times New Roman" w:eastAsia="Times New Roman" w:cs="Times New Roman"/>
            <w:sz w:val="28"/>
            <w:szCs w:val="28"/>
            <w:highlight w:val="none"/>
            <w:lang w:val="ru-RU"/>
          </w:rPr>
          <w:t xml:space="preserve">https://vk.com/wall-192545050_1157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</w:pPr>
      <w:r/>
      <w:r/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97609540"/>
      <w:docPartObj>
        <w:docPartGallery w:val="Page Numbers (Bottom of Page)"/>
        <w:docPartUnique w:val="true"/>
      </w:docPartObj>
      <w:rPr/>
    </w:sdtPr>
    <w:sdtContent>
      <w:p>
        <w:pPr>
          <w:pStyle w:val="89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80"/>
      </w:pPr>
      <w:r>
        <w:rPr>
          <w:rStyle w:val="882"/>
        </w:rPr>
        <w:footnoteRef/>
      </w:r>
      <w:r>
        <w:t xml:space="preserve"> </w:t>
      </w:r>
      <w:r>
        <w:t xml:space="preserve">Федеральный проект «Успех каждого ребенка» направлен на </w:t>
      </w:r>
      <w:r>
        <w:rPr>
          <w:b/>
          <w:bCs/>
        </w:rPr>
        <w:t xml:space="preserve">создание и работу системы выявления, поддержки и развития способностей и талантов детей и молодежи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8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0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2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4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6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8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0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27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1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8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>
    <w:name w:val="Heading 1"/>
    <w:basedOn w:val="876"/>
    <w:next w:val="876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5">
    <w:name w:val="Heading 1 Char"/>
    <w:basedOn w:val="877"/>
    <w:link w:val="704"/>
    <w:uiPriority w:val="9"/>
    <w:rPr>
      <w:rFonts w:ascii="Arial" w:hAnsi="Arial" w:eastAsia="Arial" w:cs="Arial"/>
      <w:sz w:val="40"/>
      <w:szCs w:val="40"/>
    </w:rPr>
  </w:style>
  <w:style w:type="paragraph" w:styleId="706">
    <w:name w:val="Heading 2"/>
    <w:basedOn w:val="876"/>
    <w:next w:val="876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7">
    <w:name w:val="Heading 2 Char"/>
    <w:basedOn w:val="877"/>
    <w:link w:val="706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basedOn w:val="877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basedOn w:val="877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basedOn w:val="87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7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76"/>
    <w:next w:val="876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76"/>
    <w:next w:val="876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7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76"/>
    <w:next w:val="876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7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No Spacing"/>
    <w:uiPriority w:val="1"/>
    <w:qFormat/>
    <w:pPr>
      <w:spacing w:before="0" w:after="0" w:line="240" w:lineRule="auto"/>
    </w:pPr>
  </w:style>
  <w:style w:type="paragraph" w:styleId="723">
    <w:name w:val="Title"/>
    <w:basedOn w:val="876"/>
    <w:next w:val="876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basedOn w:val="877"/>
    <w:link w:val="723"/>
    <w:uiPriority w:val="10"/>
    <w:rPr>
      <w:sz w:val="48"/>
      <w:szCs w:val="48"/>
    </w:rPr>
  </w:style>
  <w:style w:type="paragraph" w:styleId="725">
    <w:name w:val="Subtitle"/>
    <w:basedOn w:val="876"/>
    <w:next w:val="876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basedOn w:val="877"/>
    <w:link w:val="725"/>
    <w:uiPriority w:val="11"/>
    <w:rPr>
      <w:sz w:val="24"/>
      <w:szCs w:val="24"/>
    </w:rPr>
  </w:style>
  <w:style w:type="paragraph" w:styleId="727">
    <w:name w:val="Quote"/>
    <w:basedOn w:val="876"/>
    <w:next w:val="876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76"/>
    <w:next w:val="876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character" w:styleId="731">
    <w:name w:val="Header Char"/>
    <w:basedOn w:val="877"/>
    <w:link w:val="889"/>
    <w:uiPriority w:val="99"/>
  </w:style>
  <w:style w:type="character" w:styleId="732">
    <w:name w:val="Footer Char"/>
    <w:basedOn w:val="877"/>
    <w:link w:val="891"/>
    <w:uiPriority w:val="99"/>
  </w:style>
  <w:style w:type="paragraph" w:styleId="733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891"/>
    <w:uiPriority w:val="99"/>
  </w:style>
  <w:style w:type="table" w:styleId="735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34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5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6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7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38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9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1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5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8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2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character" w:styleId="861">
    <w:name w:val="Footnote Text Char"/>
    <w:link w:val="880"/>
    <w:uiPriority w:val="99"/>
    <w:rPr>
      <w:sz w:val="18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7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>
    <w:name w:val="footnote text"/>
    <w:basedOn w:val="876"/>
    <w:link w:val="88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81" w:customStyle="1">
    <w:name w:val="Текст сноски Знак"/>
    <w:basedOn w:val="877"/>
    <w:link w:val="8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82">
    <w:name w:val="footnote reference"/>
    <w:rPr>
      <w:vertAlign w:val="superscript"/>
    </w:rPr>
  </w:style>
  <w:style w:type="paragraph" w:styleId="88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84">
    <w:name w:val="List Paragraph"/>
    <w:basedOn w:val="876"/>
    <w:uiPriority w:val="34"/>
    <w:qFormat/>
    <w:pPr>
      <w:contextualSpacing/>
      <w:ind w:left="720"/>
    </w:pPr>
  </w:style>
  <w:style w:type="paragraph" w:styleId="885">
    <w:name w:val="Normal (Web)"/>
    <w:basedOn w:val="8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86" w:customStyle="1">
    <w:name w:val="Сетка таблицы1"/>
    <w:basedOn w:val="878"/>
    <w:next w:val="88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7">
    <w:name w:val="Table Grid"/>
    <w:basedOn w:val="87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8">
    <w:name w:val="line number"/>
    <w:basedOn w:val="877"/>
    <w:uiPriority w:val="99"/>
    <w:semiHidden/>
    <w:unhideWhenUsed/>
  </w:style>
  <w:style w:type="paragraph" w:styleId="889">
    <w:name w:val="Header"/>
    <w:basedOn w:val="876"/>
    <w:link w:val="8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877"/>
    <w:link w:val="889"/>
    <w:uiPriority w:val="99"/>
  </w:style>
  <w:style w:type="paragraph" w:styleId="891">
    <w:name w:val="Footer"/>
    <w:basedOn w:val="876"/>
    <w:link w:val="8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2" w:customStyle="1">
    <w:name w:val="Нижний колонтитул Знак"/>
    <w:basedOn w:val="877"/>
    <w:link w:val="89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image" Target="media/image2.jpg"/><Relationship Id="rId13" Type="http://schemas.openxmlformats.org/officeDocument/2006/relationships/image" Target="media/image3.jpg"/><Relationship Id="rId14" Type="http://schemas.openxmlformats.org/officeDocument/2006/relationships/image" Target="media/image4.jpg"/><Relationship Id="rId15" Type="http://schemas.openxmlformats.org/officeDocument/2006/relationships/image" Target="media/image5.jpg"/><Relationship Id="rId16" Type="http://schemas.openxmlformats.org/officeDocument/2006/relationships/hyperlink" Target="https://vk.com/wall-192545050_115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C72C-2114-461F-9B77-B5E750E3A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33</cp:revision>
  <dcterms:created xsi:type="dcterms:W3CDTF">2025-08-27T13:33:00Z</dcterms:created>
  <dcterms:modified xsi:type="dcterms:W3CDTF">2025-09-18T06:15:29Z</dcterms:modified>
</cp:coreProperties>
</file>