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B6" w:rsidRPr="009922DC" w:rsidRDefault="00EA7C01" w:rsidP="00EA7C01">
      <w:pPr>
        <w:pStyle w:val="a3"/>
        <w:rPr>
          <w:b/>
          <w:sz w:val="32"/>
          <w:szCs w:val="28"/>
        </w:rPr>
      </w:pPr>
      <w:r w:rsidRPr="009922DC">
        <w:rPr>
          <w:b/>
          <w:sz w:val="32"/>
          <w:szCs w:val="28"/>
        </w:rPr>
        <w:t>АДМИНИСТРАЦИЯ</w:t>
      </w:r>
    </w:p>
    <w:p w:rsidR="00EA7C01" w:rsidRPr="009922DC" w:rsidRDefault="00815CB6" w:rsidP="00EA7C01">
      <w:pPr>
        <w:pStyle w:val="a3"/>
        <w:rPr>
          <w:b/>
          <w:sz w:val="32"/>
          <w:szCs w:val="28"/>
        </w:rPr>
      </w:pPr>
      <w:r w:rsidRPr="009922DC">
        <w:rPr>
          <w:b/>
          <w:sz w:val="32"/>
          <w:szCs w:val="28"/>
        </w:rPr>
        <w:t xml:space="preserve">ЗДВИНСКОГО </w:t>
      </w:r>
      <w:r w:rsidR="009922DC">
        <w:rPr>
          <w:b/>
          <w:sz w:val="32"/>
          <w:szCs w:val="28"/>
        </w:rPr>
        <w:t xml:space="preserve">РАЙОНА </w:t>
      </w:r>
      <w:r w:rsidR="00953150" w:rsidRPr="009922DC">
        <w:rPr>
          <w:b/>
          <w:sz w:val="32"/>
          <w:szCs w:val="28"/>
        </w:rPr>
        <w:t>НОВОСИБИРСКОЙ ОБЛАСТИ</w:t>
      </w:r>
    </w:p>
    <w:p w:rsidR="00EA7C01" w:rsidRPr="009922DC" w:rsidRDefault="00EA7C01" w:rsidP="00EA7C01">
      <w:pPr>
        <w:pStyle w:val="a3"/>
        <w:jc w:val="left"/>
        <w:rPr>
          <w:sz w:val="32"/>
          <w:szCs w:val="28"/>
        </w:rPr>
      </w:pPr>
    </w:p>
    <w:p w:rsidR="00EA7C01" w:rsidRPr="00EA7C01" w:rsidRDefault="00EA7C01" w:rsidP="00EA7C01">
      <w:pPr>
        <w:pStyle w:val="a3"/>
        <w:rPr>
          <w:b/>
          <w:szCs w:val="28"/>
        </w:rPr>
      </w:pPr>
      <w:r w:rsidRPr="009922DC">
        <w:rPr>
          <w:b/>
          <w:sz w:val="32"/>
          <w:szCs w:val="28"/>
        </w:rPr>
        <w:t>ПОСТАНОВЛЕНИЕ</w:t>
      </w:r>
    </w:p>
    <w:p w:rsidR="00EA7C01" w:rsidRPr="00EA7C01" w:rsidRDefault="00EA7C01" w:rsidP="00EA7C01">
      <w:pPr>
        <w:pStyle w:val="a3"/>
        <w:jc w:val="left"/>
        <w:rPr>
          <w:szCs w:val="28"/>
        </w:rPr>
      </w:pPr>
    </w:p>
    <w:p w:rsidR="00EA7C01" w:rsidRPr="00EA7C01" w:rsidRDefault="005E2D58" w:rsidP="009922DC">
      <w:pPr>
        <w:pStyle w:val="a3"/>
        <w:rPr>
          <w:szCs w:val="28"/>
        </w:rPr>
      </w:pPr>
      <w:r>
        <w:rPr>
          <w:szCs w:val="28"/>
        </w:rPr>
        <w:t>от 29</w:t>
      </w:r>
      <w:r w:rsidR="00DC6C46">
        <w:rPr>
          <w:szCs w:val="28"/>
        </w:rPr>
        <w:t>.01.202</w:t>
      </w:r>
      <w:r w:rsidR="00DC6C46" w:rsidRPr="00DC6C46">
        <w:rPr>
          <w:szCs w:val="28"/>
        </w:rPr>
        <w:t>5</w:t>
      </w:r>
      <w:r w:rsidR="00815CB6" w:rsidRPr="00EA7C01">
        <w:rPr>
          <w:szCs w:val="28"/>
        </w:rPr>
        <w:t xml:space="preserve"> №</w:t>
      </w:r>
      <w:r w:rsidR="009922DC">
        <w:rPr>
          <w:szCs w:val="28"/>
        </w:rPr>
        <w:t xml:space="preserve"> 26-па</w:t>
      </w:r>
    </w:p>
    <w:p w:rsidR="00EA7C01" w:rsidRPr="00EA7C01" w:rsidRDefault="00EA7C01" w:rsidP="00EA7C01">
      <w:pPr>
        <w:pStyle w:val="a3"/>
        <w:jc w:val="left"/>
        <w:rPr>
          <w:szCs w:val="28"/>
        </w:rPr>
      </w:pPr>
    </w:p>
    <w:p w:rsidR="00EA7C01" w:rsidRPr="00EA7C01" w:rsidRDefault="00953150" w:rsidP="00EA7C01">
      <w:pPr>
        <w:pStyle w:val="a3"/>
        <w:rPr>
          <w:szCs w:val="28"/>
        </w:rPr>
      </w:pPr>
      <w:r w:rsidRPr="00EA7C01">
        <w:rPr>
          <w:szCs w:val="28"/>
        </w:rPr>
        <w:t>О</w:t>
      </w:r>
      <w:r w:rsidR="007B3C02">
        <w:rPr>
          <w:szCs w:val="28"/>
        </w:rPr>
        <w:t>б утверждении</w:t>
      </w:r>
      <w:r w:rsidR="00CC3A07" w:rsidRPr="00EA7C01">
        <w:rPr>
          <w:szCs w:val="28"/>
        </w:rPr>
        <w:t xml:space="preserve"> </w:t>
      </w:r>
      <w:r w:rsidR="00EA7C01" w:rsidRPr="00EA7C01">
        <w:rPr>
          <w:szCs w:val="28"/>
        </w:rPr>
        <w:t>стоимости</w:t>
      </w:r>
      <w:r w:rsidR="00EA7C01" w:rsidRPr="00EA7C01">
        <w:rPr>
          <w:b/>
          <w:szCs w:val="28"/>
        </w:rPr>
        <w:t xml:space="preserve"> </w:t>
      </w:r>
      <w:r w:rsidR="00EA7C01" w:rsidRPr="00EA7C01">
        <w:rPr>
          <w:szCs w:val="28"/>
        </w:rPr>
        <w:t xml:space="preserve">и требований к качеству </w:t>
      </w:r>
      <w:r w:rsidRPr="00EA7C01">
        <w:rPr>
          <w:szCs w:val="28"/>
        </w:rPr>
        <w:t>услуг, предоставляемых</w:t>
      </w:r>
      <w:r w:rsidR="00EA7C01" w:rsidRPr="00EA7C01">
        <w:rPr>
          <w:b/>
          <w:szCs w:val="28"/>
        </w:rPr>
        <w:t xml:space="preserve"> </w:t>
      </w:r>
      <w:r w:rsidR="007C6EA2" w:rsidRPr="00EA7C01">
        <w:rPr>
          <w:szCs w:val="28"/>
        </w:rPr>
        <w:t>согласно гарантированному перечню</w:t>
      </w:r>
      <w:r w:rsidRPr="00EA7C01">
        <w:rPr>
          <w:szCs w:val="28"/>
        </w:rPr>
        <w:t xml:space="preserve"> услуг по погребению</w:t>
      </w:r>
      <w:r w:rsidR="005E2A2C" w:rsidRPr="00EA7C01">
        <w:rPr>
          <w:szCs w:val="28"/>
        </w:rPr>
        <w:t xml:space="preserve"> </w:t>
      </w:r>
      <w:r w:rsidRPr="00EA7C01">
        <w:rPr>
          <w:szCs w:val="28"/>
        </w:rPr>
        <w:t>на террит</w:t>
      </w:r>
      <w:r w:rsidR="00083DD0" w:rsidRPr="00EA7C01">
        <w:rPr>
          <w:szCs w:val="28"/>
        </w:rPr>
        <w:t xml:space="preserve">ории </w:t>
      </w:r>
      <w:r w:rsidR="005E2A2C" w:rsidRPr="00EA7C01">
        <w:rPr>
          <w:szCs w:val="28"/>
        </w:rPr>
        <w:t>Здвинского района Н</w:t>
      </w:r>
      <w:r w:rsidR="007C6EA2" w:rsidRPr="00EA7C01">
        <w:rPr>
          <w:szCs w:val="28"/>
        </w:rPr>
        <w:t>овосибирской области</w:t>
      </w:r>
    </w:p>
    <w:p w:rsidR="00EA7C01" w:rsidRPr="00EA7C01" w:rsidRDefault="00EA7C01" w:rsidP="00EA7C01">
      <w:pPr>
        <w:pStyle w:val="a3"/>
        <w:jc w:val="left"/>
        <w:rPr>
          <w:szCs w:val="28"/>
        </w:rPr>
      </w:pPr>
    </w:p>
    <w:p w:rsidR="00EA7C01" w:rsidRPr="00EA7C01" w:rsidRDefault="00953150" w:rsidP="00EA7C01">
      <w:pPr>
        <w:pStyle w:val="a3"/>
        <w:ind w:firstLine="709"/>
        <w:jc w:val="both"/>
        <w:rPr>
          <w:szCs w:val="28"/>
        </w:rPr>
      </w:pPr>
      <w:proofErr w:type="gramStart"/>
      <w:r w:rsidRPr="00EA7C01">
        <w:rPr>
          <w:szCs w:val="28"/>
        </w:rPr>
        <w:t>Руководствуясь Федеральным законом от 12.01.1996 № 8</w:t>
      </w:r>
      <w:r w:rsidR="00EA7C01" w:rsidRPr="00EA7C01">
        <w:rPr>
          <w:szCs w:val="28"/>
        </w:rPr>
        <w:t>-</w:t>
      </w:r>
      <w:r w:rsidRPr="00EA7C01">
        <w:rPr>
          <w:szCs w:val="28"/>
        </w:rPr>
        <w:t xml:space="preserve">ФЗ «О погребении и похоронном деле» (с изменениями и дополнениями), </w:t>
      </w:r>
      <w:r w:rsidR="00905200" w:rsidRPr="00EA7C01">
        <w:rPr>
          <w:szCs w:val="28"/>
        </w:rPr>
        <w:t>Федеральным Законом от 06.10.2003 № 131-</w:t>
      </w:r>
      <w:r w:rsidR="00EA7C01" w:rsidRPr="00EA7C01">
        <w:rPr>
          <w:szCs w:val="28"/>
        </w:rPr>
        <w:t xml:space="preserve">ФЗ </w:t>
      </w:r>
      <w:r w:rsidR="00905200" w:rsidRPr="00EA7C01">
        <w:rPr>
          <w:szCs w:val="28"/>
        </w:rPr>
        <w:t xml:space="preserve">«Об общих принципах организации местного самоуправления Российской Федерации», </w:t>
      </w:r>
      <w:r w:rsidR="00EA7C01" w:rsidRPr="00EA7C01">
        <w:rPr>
          <w:szCs w:val="28"/>
        </w:rPr>
        <w:t>п</w:t>
      </w:r>
      <w:r w:rsidR="00A14F68" w:rsidRPr="00EA7C01">
        <w:rPr>
          <w:szCs w:val="28"/>
        </w:rPr>
        <w:t>остановлением П</w:t>
      </w:r>
      <w:r w:rsidR="000424E2" w:rsidRPr="00EA7C01">
        <w:rPr>
          <w:szCs w:val="28"/>
        </w:rPr>
        <w:t>рав</w:t>
      </w:r>
      <w:r w:rsidR="00EA7C01" w:rsidRPr="00EA7C01">
        <w:rPr>
          <w:szCs w:val="28"/>
        </w:rPr>
        <w:t xml:space="preserve">ительства Российской Федерации </w:t>
      </w:r>
      <w:r w:rsidR="000424E2" w:rsidRPr="00EA7C01">
        <w:rPr>
          <w:szCs w:val="28"/>
        </w:rPr>
        <w:t xml:space="preserve">от </w:t>
      </w:r>
      <w:r w:rsidR="005E2D58">
        <w:rPr>
          <w:szCs w:val="28"/>
        </w:rPr>
        <w:t>23.01.2025</w:t>
      </w:r>
      <w:r w:rsidR="000424E2" w:rsidRPr="00EA7C01">
        <w:rPr>
          <w:szCs w:val="28"/>
        </w:rPr>
        <w:t xml:space="preserve"> </w:t>
      </w:r>
      <w:r w:rsidR="00401530">
        <w:rPr>
          <w:szCs w:val="28"/>
        </w:rPr>
        <w:t xml:space="preserve">№ </w:t>
      </w:r>
      <w:r w:rsidR="005E2D58">
        <w:rPr>
          <w:szCs w:val="28"/>
        </w:rPr>
        <w:t>33</w:t>
      </w:r>
      <w:r w:rsidR="00401530" w:rsidRPr="00C5359C">
        <w:rPr>
          <w:szCs w:val="28"/>
        </w:rPr>
        <w:t xml:space="preserve"> </w:t>
      </w:r>
      <w:r w:rsidR="000424E2" w:rsidRPr="00EA7C01">
        <w:rPr>
          <w:szCs w:val="28"/>
        </w:rPr>
        <w:t>«Об утверждении коэффициента индексации выпл</w:t>
      </w:r>
      <w:r w:rsidR="00401530">
        <w:rPr>
          <w:szCs w:val="28"/>
        </w:rPr>
        <w:t>ат, пособий и компенсаций в 202</w:t>
      </w:r>
      <w:r w:rsidR="005E2D58">
        <w:rPr>
          <w:szCs w:val="28"/>
        </w:rPr>
        <w:t>5</w:t>
      </w:r>
      <w:r w:rsidR="000424E2" w:rsidRPr="00EA7C01">
        <w:rPr>
          <w:szCs w:val="28"/>
        </w:rPr>
        <w:t xml:space="preserve"> году</w:t>
      </w:r>
      <w:r w:rsidR="00EA7C01" w:rsidRPr="00EA7C01">
        <w:rPr>
          <w:szCs w:val="28"/>
        </w:rPr>
        <w:t xml:space="preserve">» и </w:t>
      </w:r>
      <w:r w:rsidR="005E2A2C" w:rsidRPr="00EA7C01">
        <w:rPr>
          <w:szCs w:val="28"/>
        </w:rPr>
        <w:t>Уставом Здвинского района Новосибирской области</w:t>
      </w:r>
      <w:r w:rsidR="00AA5CF4" w:rsidRPr="00EA7C01">
        <w:rPr>
          <w:szCs w:val="28"/>
        </w:rPr>
        <w:t>, администрация Здвинского района Новосибирской области</w:t>
      </w:r>
      <w:proofErr w:type="gramEnd"/>
    </w:p>
    <w:p w:rsidR="00EA7C01" w:rsidRPr="00EA7C01" w:rsidRDefault="00EA7C01" w:rsidP="009922DC">
      <w:pPr>
        <w:pStyle w:val="a3"/>
        <w:jc w:val="both"/>
        <w:rPr>
          <w:szCs w:val="28"/>
        </w:rPr>
      </w:pPr>
      <w:proofErr w:type="gramStart"/>
      <w:r w:rsidRPr="00EA7C01">
        <w:rPr>
          <w:szCs w:val="28"/>
        </w:rPr>
        <w:t>п</w:t>
      </w:r>
      <w:proofErr w:type="gramEnd"/>
      <w:r w:rsidRPr="00EA7C01">
        <w:rPr>
          <w:szCs w:val="28"/>
        </w:rPr>
        <w:t xml:space="preserve"> о с т а н о в л я е т:</w:t>
      </w:r>
    </w:p>
    <w:p w:rsidR="000C0701" w:rsidRDefault="000C0701" w:rsidP="00EA7C01">
      <w:pPr>
        <w:pStyle w:val="a3"/>
        <w:ind w:firstLine="709"/>
        <w:jc w:val="both"/>
        <w:rPr>
          <w:szCs w:val="28"/>
        </w:rPr>
      </w:pPr>
    </w:p>
    <w:p w:rsidR="00953150" w:rsidRDefault="005E2A2C" w:rsidP="00EA7C01">
      <w:pPr>
        <w:pStyle w:val="a3"/>
        <w:ind w:firstLine="709"/>
        <w:jc w:val="both"/>
        <w:rPr>
          <w:szCs w:val="28"/>
        </w:rPr>
      </w:pPr>
      <w:r w:rsidRPr="00EA7C01">
        <w:rPr>
          <w:szCs w:val="28"/>
        </w:rPr>
        <w:t>1.</w:t>
      </w:r>
      <w:r w:rsidR="00EA7C01" w:rsidRPr="00EA7C01">
        <w:rPr>
          <w:szCs w:val="28"/>
        </w:rPr>
        <w:t> </w:t>
      </w:r>
      <w:r w:rsidR="00DC6C46">
        <w:rPr>
          <w:szCs w:val="28"/>
        </w:rPr>
        <w:t>Установить</w:t>
      </w:r>
      <w:r w:rsidR="007B3C02">
        <w:rPr>
          <w:szCs w:val="28"/>
        </w:rPr>
        <w:t xml:space="preserve"> </w:t>
      </w:r>
      <w:r w:rsidR="00953150" w:rsidRPr="00EA7C01">
        <w:rPr>
          <w:szCs w:val="28"/>
        </w:rPr>
        <w:t xml:space="preserve">стоимость </w:t>
      </w:r>
      <w:r w:rsidR="007C6EA2" w:rsidRPr="00EA7C01">
        <w:rPr>
          <w:szCs w:val="28"/>
        </w:rPr>
        <w:t>услуг, предоставляемых согласно гарантированному</w:t>
      </w:r>
      <w:r w:rsidR="00953150" w:rsidRPr="00EA7C01">
        <w:rPr>
          <w:szCs w:val="28"/>
        </w:rPr>
        <w:t xml:space="preserve"> перечн</w:t>
      </w:r>
      <w:r w:rsidR="007C6EA2" w:rsidRPr="00EA7C01">
        <w:rPr>
          <w:szCs w:val="28"/>
        </w:rPr>
        <w:t>ю</w:t>
      </w:r>
      <w:r w:rsidR="00953150" w:rsidRPr="00EA7C01">
        <w:rPr>
          <w:szCs w:val="28"/>
        </w:rPr>
        <w:t xml:space="preserve"> услуг по погребению, в том числе для реабилитированных лиц </w:t>
      </w:r>
      <w:r w:rsidR="000B189C" w:rsidRPr="00EA7C01">
        <w:rPr>
          <w:szCs w:val="28"/>
        </w:rPr>
        <w:t>на территории</w:t>
      </w:r>
      <w:r w:rsidR="00083DD0" w:rsidRPr="00EA7C01">
        <w:rPr>
          <w:szCs w:val="28"/>
        </w:rPr>
        <w:t xml:space="preserve"> </w:t>
      </w:r>
      <w:r w:rsidR="007C6EA2" w:rsidRPr="00EA7C01">
        <w:rPr>
          <w:szCs w:val="28"/>
        </w:rPr>
        <w:t>Здвинского района Новосибирской области</w:t>
      </w:r>
      <w:r w:rsidR="00DC6C46">
        <w:rPr>
          <w:szCs w:val="28"/>
        </w:rPr>
        <w:t xml:space="preserve"> в размере </w:t>
      </w:r>
      <w:r w:rsidR="00BD235D">
        <w:rPr>
          <w:szCs w:val="28"/>
        </w:rPr>
        <w:t>13 084,77 рублей</w:t>
      </w:r>
      <w:r w:rsidR="00DC6C46">
        <w:rPr>
          <w:szCs w:val="28"/>
        </w:rPr>
        <w:t xml:space="preserve"> (пр</w:t>
      </w:r>
      <w:r w:rsidR="004719BA">
        <w:rPr>
          <w:szCs w:val="28"/>
        </w:rPr>
        <w:t>иложение № 1).</w:t>
      </w:r>
    </w:p>
    <w:p w:rsidR="00DC6C46" w:rsidRDefault="00DC6C46" w:rsidP="00EA7C0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719BA">
        <w:rPr>
          <w:szCs w:val="28"/>
        </w:rPr>
        <w:t> </w:t>
      </w:r>
      <w:r>
        <w:rPr>
          <w:szCs w:val="28"/>
        </w:rPr>
        <w:t xml:space="preserve">Установить стоимость услуг, предоставляемых согласно </w:t>
      </w:r>
      <w:r w:rsidRPr="00EA7C01">
        <w:rPr>
          <w:szCs w:val="28"/>
        </w:rPr>
        <w:t>гарантированному перечню услуг по погребению умерших (погибших), не имеющих супруга, близких родственников, законного представителя или иных лиц, взявших на себя обязанности по погребению умершего на территории Здвинского района Новосибирской области</w:t>
      </w:r>
      <w:r w:rsidR="00BD235D">
        <w:rPr>
          <w:szCs w:val="28"/>
        </w:rPr>
        <w:t xml:space="preserve"> в размере 11 582,09 рублей  (приложение № 2</w:t>
      </w:r>
      <w:r w:rsidR="004719BA">
        <w:rPr>
          <w:szCs w:val="28"/>
        </w:rPr>
        <w:t>).</w:t>
      </w:r>
    </w:p>
    <w:p w:rsidR="004719BA" w:rsidRDefault="00953150" w:rsidP="004719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44F0">
        <w:rPr>
          <w:rFonts w:ascii="Times New Roman" w:hAnsi="Times New Roman"/>
          <w:sz w:val="28"/>
          <w:szCs w:val="28"/>
        </w:rPr>
        <w:t>3.</w:t>
      </w:r>
      <w:r w:rsidR="00EA7C01" w:rsidRPr="00E744F0">
        <w:rPr>
          <w:rFonts w:ascii="Times New Roman" w:hAnsi="Times New Roman"/>
          <w:sz w:val="28"/>
          <w:szCs w:val="28"/>
        </w:rPr>
        <w:t> </w:t>
      </w:r>
      <w:r w:rsidRPr="00E744F0">
        <w:rPr>
          <w:rFonts w:ascii="Times New Roman" w:hAnsi="Times New Roman"/>
          <w:sz w:val="28"/>
          <w:szCs w:val="28"/>
        </w:rPr>
        <w:t>Утвердить</w:t>
      </w:r>
      <w:r w:rsidR="00594F9D">
        <w:rPr>
          <w:rFonts w:ascii="Times New Roman" w:hAnsi="Times New Roman"/>
          <w:sz w:val="28"/>
          <w:szCs w:val="28"/>
        </w:rPr>
        <w:t xml:space="preserve"> прилагаемые требования</w:t>
      </w:r>
      <w:r w:rsidRPr="00E744F0">
        <w:rPr>
          <w:rFonts w:ascii="Times New Roman" w:hAnsi="Times New Roman"/>
          <w:sz w:val="28"/>
          <w:szCs w:val="28"/>
        </w:rPr>
        <w:t xml:space="preserve"> </w:t>
      </w:r>
      <w:r w:rsidR="007B3C02">
        <w:rPr>
          <w:rFonts w:ascii="Times New Roman" w:hAnsi="Times New Roman"/>
          <w:sz w:val="28"/>
          <w:szCs w:val="28"/>
        </w:rPr>
        <w:t>к</w:t>
      </w:r>
      <w:r w:rsidRPr="00E744F0">
        <w:rPr>
          <w:rFonts w:ascii="Times New Roman" w:hAnsi="Times New Roman"/>
          <w:sz w:val="28"/>
          <w:szCs w:val="28"/>
        </w:rPr>
        <w:t xml:space="preserve"> качеству услуг, предоставляемых согласно гарантированному перечню услуг по погребению</w:t>
      </w:r>
      <w:r w:rsidR="00EA7C01" w:rsidRPr="00E744F0">
        <w:rPr>
          <w:rFonts w:ascii="Times New Roman" w:hAnsi="Times New Roman"/>
          <w:sz w:val="28"/>
          <w:szCs w:val="28"/>
        </w:rPr>
        <w:t xml:space="preserve"> на территории</w:t>
      </w:r>
      <w:r w:rsidR="00083DD0" w:rsidRPr="00E744F0">
        <w:rPr>
          <w:rFonts w:ascii="Times New Roman" w:hAnsi="Times New Roman"/>
          <w:sz w:val="28"/>
          <w:szCs w:val="28"/>
        </w:rPr>
        <w:t xml:space="preserve"> </w:t>
      </w:r>
      <w:r w:rsidR="00E6706B" w:rsidRPr="00E744F0">
        <w:rPr>
          <w:rFonts w:ascii="Times New Roman" w:hAnsi="Times New Roman"/>
          <w:sz w:val="28"/>
          <w:szCs w:val="28"/>
        </w:rPr>
        <w:t xml:space="preserve">Здвинского района </w:t>
      </w:r>
      <w:r w:rsidRPr="00E744F0">
        <w:rPr>
          <w:rFonts w:ascii="Times New Roman" w:hAnsi="Times New Roman"/>
          <w:sz w:val="28"/>
          <w:szCs w:val="28"/>
        </w:rPr>
        <w:t>Но</w:t>
      </w:r>
      <w:r w:rsidR="000D2C8F" w:rsidRPr="00E744F0">
        <w:rPr>
          <w:rFonts w:ascii="Times New Roman" w:hAnsi="Times New Roman"/>
          <w:sz w:val="28"/>
          <w:szCs w:val="28"/>
        </w:rPr>
        <w:t>восиб</w:t>
      </w:r>
      <w:r w:rsidR="00E744F0" w:rsidRPr="00E744F0">
        <w:rPr>
          <w:rFonts w:ascii="Times New Roman" w:hAnsi="Times New Roman"/>
          <w:sz w:val="28"/>
          <w:szCs w:val="28"/>
        </w:rPr>
        <w:t>ирской области</w:t>
      </w:r>
      <w:bookmarkStart w:id="0" w:name="_GoBack"/>
      <w:bookmarkEnd w:id="0"/>
      <w:r w:rsidR="00E744F0" w:rsidRPr="00E744F0">
        <w:rPr>
          <w:rFonts w:ascii="Times New Roman" w:hAnsi="Times New Roman"/>
          <w:sz w:val="28"/>
          <w:szCs w:val="28"/>
        </w:rPr>
        <w:t>.</w:t>
      </w:r>
    </w:p>
    <w:p w:rsidR="004719BA" w:rsidRDefault="00B83B83" w:rsidP="004719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A7C0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официального опубликования и распространяет свое действие на правоотношения, возникшие с 1 февраля 2025 года</w:t>
      </w:r>
      <w:r w:rsidRPr="00EA7C01">
        <w:rPr>
          <w:rFonts w:ascii="Times New Roman" w:hAnsi="Times New Roman"/>
          <w:sz w:val="28"/>
          <w:szCs w:val="28"/>
        </w:rPr>
        <w:t>.</w:t>
      </w:r>
      <w:r w:rsidR="00BE4252" w:rsidRPr="00BE4252">
        <w:rPr>
          <w:rFonts w:ascii="Times New Roman" w:hAnsi="Times New Roman"/>
          <w:sz w:val="28"/>
          <w:szCs w:val="28"/>
        </w:rPr>
        <w:t xml:space="preserve"> </w:t>
      </w:r>
    </w:p>
    <w:p w:rsidR="004719BA" w:rsidRDefault="00BE4252" w:rsidP="004719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7C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A7C01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«Информационный вестник Здвинского района» и на официальном сайте администрации Здвинского района Новосибирской области в информационно - телекоммуникационной сети «Интернет».</w:t>
      </w:r>
    </w:p>
    <w:p w:rsidR="004719BA" w:rsidRDefault="00BE4252" w:rsidP="004719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D584D">
        <w:rPr>
          <w:rFonts w:ascii="Times New Roman" w:hAnsi="Times New Roman"/>
          <w:sz w:val="28"/>
          <w:szCs w:val="28"/>
        </w:rPr>
        <w:t xml:space="preserve">. </w:t>
      </w:r>
      <w:r w:rsidR="005D584D" w:rsidRPr="005D584D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Здвинского района Новосибирской </w:t>
      </w:r>
      <w:r w:rsidR="00B83B83">
        <w:rPr>
          <w:rFonts w:ascii="Times New Roman" w:hAnsi="Times New Roman"/>
          <w:sz w:val="28"/>
          <w:szCs w:val="28"/>
        </w:rPr>
        <w:t>области от 31.01.2023</w:t>
      </w:r>
      <w:r w:rsidR="005D584D">
        <w:rPr>
          <w:rFonts w:ascii="Times New Roman" w:hAnsi="Times New Roman"/>
          <w:sz w:val="28"/>
          <w:szCs w:val="28"/>
        </w:rPr>
        <w:t xml:space="preserve"> № </w:t>
      </w:r>
      <w:r w:rsidR="00B83B83">
        <w:rPr>
          <w:rFonts w:ascii="Times New Roman" w:hAnsi="Times New Roman"/>
          <w:sz w:val="28"/>
          <w:szCs w:val="28"/>
        </w:rPr>
        <w:t xml:space="preserve">17-па «Об утверждении </w:t>
      </w:r>
      <w:r w:rsidR="005D584D">
        <w:rPr>
          <w:rFonts w:ascii="Times New Roman" w:hAnsi="Times New Roman"/>
          <w:sz w:val="28"/>
          <w:szCs w:val="28"/>
        </w:rPr>
        <w:t xml:space="preserve"> стоимости и требований к качеству услуг, предоставляемых согласно </w:t>
      </w:r>
      <w:r w:rsidR="005D584D">
        <w:rPr>
          <w:rFonts w:ascii="Times New Roman" w:hAnsi="Times New Roman"/>
          <w:sz w:val="28"/>
          <w:szCs w:val="28"/>
        </w:rPr>
        <w:lastRenderedPageBreak/>
        <w:t>гарантированному перечню услуг по погребению на терр</w:t>
      </w:r>
      <w:r w:rsidR="000C0701">
        <w:rPr>
          <w:rFonts w:ascii="Times New Roman" w:hAnsi="Times New Roman"/>
          <w:sz w:val="28"/>
          <w:szCs w:val="28"/>
        </w:rPr>
        <w:t xml:space="preserve">итории </w:t>
      </w:r>
      <w:r w:rsidR="000D2C8F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="005D584D">
        <w:rPr>
          <w:rFonts w:ascii="Times New Roman" w:hAnsi="Times New Roman"/>
          <w:sz w:val="28"/>
          <w:szCs w:val="28"/>
        </w:rPr>
        <w:t>Здвинского района Новосибирской области».</w:t>
      </w:r>
    </w:p>
    <w:p w:rsidR="00E6706B" w:rsidRDefault="000D2C8F" w:rsidP="004719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6706B" w:rsidRPr="00EA7C01">
        <w:rPr>
          <w:rFonts w:ascii="Times New Roman" w:hAnsi="Times New Roman"/>
          <w:sz w:val="28"/>
          <w:szCs w:val="28"/>
        </w:rPr>
        <w:t>.</w:t>
      </w:r>
      <w:r w:rsidR="00EA7C01">
        <w:rPr>
          <w:rFonts w:ascii="Times New Roman" w:hAnsi="Times New Roman"/>
          <w:sz w:val="28"/>
          <w:szCs w:val="28"/>
        </w:rPr>
        <w:t> </w:t>
      </w:r>
      <w:proofErr w:type="gramStart"/>
      <w:r w:rsidR="00CC3A07" w:rsidRPr="00EA7C01">
        <w:rPr>
          <w:rFonts w:ascii="Times New Roman" w:hAnsi="Times New Roman"/>
          <w:sz w:val="28"/>
          <w:szCs w:val="28"/>
        </w:rPr>
        <w:t>К</w:t>
      </w:r>
      <w:r w:rsidR="00E6706B" w:rsidRPr="00EA7C01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EA7C01">
        <w:rPr>
          <w:rFonts w:ascii="Times New Roman" w:hAnsi="Times New Roman"/>
          <w:sz w:val="28"/>
          <w:szCs w:val="28"/>
        </w:rPr>
        <w:t xml:space="preserve"> исполнением </w:t>
      </w:r>
      <w:r w:rsidR="00E6706B" w:rsidRPr="00EA7C01">
        <w:rPr>
          <w:rFonts w:ascii="Times New Roman" w:hAnsi="Times New Roman"/>
          <w:sz w:val="28"/>
          <w:szCs w:val="28"/>
        </w:rPr>
        <w:t>настоящего постановления возложить</w:t>
      </w:r>
      <w:r w:rsidR="00B83B83">
        <w:rPr>
          <w:rFonts w:ascii="Times New Roman" w:hAnsi="Times New Roman"/>
          <w:sz w:val="28"/>
          <w:szCs w:val="28"/>
        </w:rPr>
        <w:t xml:space="preserve"> на </w:t>
      </w:r>
      <w:r w:rsidR="00B70CFC" w:rsidRPr="00B70CFC">
        <w:rPr>
          <w:rFonts w:ascii="Times New Roman" w:hAnsi="Times New Roman"/>
          <w:sz w:val="28"/>
          <w:szCs w:val="28"/>
        </w:rPr>
        <w:t xml:space="preserve">заместителя главы администрации Здвинского района – начальника управления экономического развития, труда, промышленности, торговли и транспорта администрации Здвинского района Новосибирской </w:t>
      </w:r>
      <w:r w:rsidR="00B70CFC" w:rsidRPr="00E744F0">
        <w:rPr>
          <w:rFonts w:ascii="Times New Roman" w:hAnsi="Times New Roman"/>
          <w:sz w:val="28"/>
          <w:szCs w:val="28"/>
        </w:rPr>
        <w:t>области</w:t>
      </w:r>
      <w:r w:rsidR="00C32DE6">
        <w:rPr>
          <w:rFonts w:ascii="Times New Roman" w:hAnsi="Times New Roman"/>
          <w:sz w:val="28"/>
          <w:szCs w:val="28"/>
        </w:rPr>
        <w:t xml:space="preserve"> Максимову А.В</w:t>
      </w:r>
      <w:r w:rsidR="00E744F0" w:rsidRPr="00E744F0">
        <w:rPr>
          <w:rFonts w:ascii="Times New Roman" w:hAnsi="Times New Roman"/>
          <w:sz w:val="28"/>
          <w:szCs w:val="28"/>
        </w:rPr>
        <w:t>.</w:t>
      </w:r>
      <w:r w:rsidR="00B70CFC" w:rsidRPr="002B4031">
        <w:t xml:space="preserve">                  </w:t>
      </w:r>
      <w:r w:rsidR="00B70CFC">
        <w:t xml:space="preserve">                </w:t>
      </w:r>
    </w:p>
    <w:p w:rsidR="00EA7C01" w:rsidRDefault="00EA7C01" w:rsidP="00EA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C01" w:rsidRDefault="00EA7C01" w:rsidP="00EA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0701" w:rsidRDefault="000C0701" w:rsidP="00EA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150" w:rsidRPr="00EA7C01" w:rsidRDefault="00E6706B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7C01">
        <w:rPr>
          <w:rFonts w:ascii="Times New Roman" w:hAnsi="Times New Roman"/>
          <w:sz w:val="28"/>
          <w:szCs w:val="28"/>
          <w:lang w:eastAsia="ru-RU"/>
        </w:rPr>
        <w:t>Глава Здвинского района</w:t>
      </w:r>
    </w:p>
    <w:p w:rsidR="00E6706B" w:rsidRDefault="00E6706B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7C01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 w:rsidR="00EA7C0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A7C0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4FB2" w:rsidRPr="00EA7C0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83DD0" w:rsidRPr="00EA7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16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A7C01">
        <w:rPr>
          <w:rFonts w:ascii="Times New Roman" w:hAnsi="Times New Roman"/>
          <w:sz w:val="28"/>
          <w:szCs w:val="28"/>
          <w:lang w:eastAsia="ru-RU"/>
        </w:rPr>
        <w:t>М.И.</w:t>
      </w:r>
      <w:r w:rsidR="00EA7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7C01">
        <w:rPr>
          <w:rFonts w:ascii="Times New Roman" w:hAnsi="Times New Roman"/>
          <w:sz w:val="28"/>
          <w:szCs w:val="28"/>
          <w:lang w:eastAsia="ru-RU"/>
        </w:rPr>
        <w:t>Колотов</w:t>
      </w: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19BA" w:rsidRDefault="004719BA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7C01" w:rsidTr="001147BF">
        <w:tc>
          <w:tcPr>
            <w:tcW w:w="4926" w:type="dxa"/>
          </w:tcPr>
          <w:p w:rsidR="00EA7C01" w:rsidRDefault="00EA7C01" w:rsidP="00EA7C0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115B5" w:rsidRDefault="00C32DE6" w:rsidP="00E115B5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115B5" w:rsidRDefault="00C32DE6" w:rsidP="00E115B5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E11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701" w:rsidRPr="00E744F0">
              <w:rPr>
                <w:rFonts w:ascii="Times New Roman" w:hAnsi="Times New Roman"/>
                <w:sz w:val="28"/>
                <w:szCs w:val="28"/>
              </w:rPr>
              <w:t>администрации Здвинского</w:t>
            </w:r>
            <w:r w:rsidR="00E11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EA7C01" w:rsidRPr="00E744F0" w:rsidRDefault="00EA7C01" w:rsidP="00E115B5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F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A7C01" w:rsidRDefault="005E2D58" w:rsidP="00E115B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C32DE6">
              <w:rPr>
                <w:rFonts w:ascii="Times New Roman" w:hAnsi="Times New Roman"/>
                <w:sz w:val="28"/>
                <w:szCs w:val="28"/>
              </w:rPr>
              <w:t xml:space="preserve">.01.2025 </w:t>
            </w:r>
            <w:r w:rsidR="006F0CEE">
              <w:rPr>
                <w:rFonts w:ascii="Times New Roman" w:hAnsi="Times New Roman"/>
                <w:sz w:val="28"/>
                <w:szCs w:val="28"/>
              </w:rPr>
              <w:t>№</w:t>
            </w:r>
            <w:r w:rsidR="00E115B5">
              <w:rPr>
                <w:rFonts w:ascii="Times New Roman" w:hAnsi="Times New Roman"/>
                <w:sz w:val="28"/>
                <w:szCs w:val="28"/>
              </w:rPr>
              <w:t xml:space="preserve"> 26-па</w:t>
            </w:r>
          </w:p>
        </w:tc>
      </w:tr>
    </w:tbl>
    <w:p w:rsidR="00EA7C01" w:rsidRPr="00EA7C01" w:rsidRDefault="00EA7C01" w:rsidP="00EA7C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Pr="00EA7C01" w:rsidRDefault="00953150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150" w:rsidRDefault="005E2D58" w:rsidP="00BD235D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услуг,</w:t>
      </w:r>
      <w:r w:rsidR="00E1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предоставляемых согласно гарантированному перечню услуг по</w:t>
      </w:r>
      <w:r w:rsidR="00E1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погребению на территории Здвинского района Новосибирской области</w:t>
      </w:r>
      <w:r w:rsidR="00E11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01.02.2025 года</w:t>
      </w: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977"/>
      </w:tblGrid>
      <w:tr w:rsidR="005E2D58" w:rsidRPr="009B118C" w:rsidTr="001147BF">
        <w:trPr>
          <w:cantSplit/>
          <w:trHeight w:val="71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15B5" w:rsidRPr="00E115B5" w:rsidRDefault="00E115B5" w:rsidP="00E115B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115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E2D58" w:rsidRPr="009B118C" w:rsidRDefault="005E2D58" w:rsidP="00E115B5">
            <w:pPr>
              <w:pStyle w:val="a8"/>
            </w:pPr>
            <w:proofErr w:type="gramStart"/>
            <w:r w:rsidRPr="00E115B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115B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5E2D58" w:rsidTr="001147BF">
        <w:trPr>
          <w:cantSplit/>
          <w:trHeight w:val="17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Default="005E2D58" w:rsidP="00AD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5E2D58" w:rsidRPr="009B118C" w:rsidTr="00114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D58" w:rsidRPr="009B118C" w:rsidTr="001147BF">
        <w:trPr>
          <w:cantSplit/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Предоставление и доставка гроба и других предметов,          </w:t>
            </w:r>
            <w:r w:rsidRPr="009B118C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необходимых для погребения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4 937,59</w:t>
            </w:r>
          </w:p>
        </w:tc>
      </w:tr>
      <w:tr w:rsidR="005E2D58" w:rsidRPr="009B118C" w:rsidTr="001147B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крематорий)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2 465,98</w:t>
            </w:r>
          </w:p>
        </w:tc>
      </w:tr>
      <w:tr w:rsidR="005E2D58" w:rsidRPr="009B118C" w:rsidTr="001147B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5 681,2</w:t>
            </w:r>
            <w:r w:rsidR="006F0CE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2D58" w:rsidRPr="009B118C" w:rsidTr="001147BF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B118C">
              <w:rPr>
                <w:rFonts w:ascii="Times New Roman" w:hAnsi="Times New Roman"/>
                <w:sz w:val="28"/>
                <w:szCs w:val="28"/>
              </w:rPr>
              <w:t>тоимость рытья стандартной могилы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3 852,69</w:t>
            </w:r>
          </w:p>
        </w:tc>
      </w:tr>
      <w:tr w:rsidR="005E2D58" w:rsidTr="001147BF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D58" w:rsidRPr="00A47945" w:rsidTr="001147B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A47945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13 084,77</w:t>
            </w:r>
          </w:p>
        </w:tc>
      </w:tr>
    </w:tbl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7BF" w:rsidRDefault="001147BF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32DE6" w:rsidTr="001147BF">
        <w:tc>
          <w:tcPr>
            <w:tcW w:w="4926" w:type="dxa"/>
          </w:tcPr>
          <w:p w:rsidR="00C32DE6" w:rsidRDefault="00C32DE6" w:rsidP="00934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115B5" w:rsidRDefault="00C32DE6" w:rsidP="00E115B5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E115B5" w:rsidRDefault="00C32DE6" w:rsidP="00E115B5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Pr="00E744F0">
              <w:rPr>
                <w:rFonts w:ascii="Times New Roman" w:hAnsi="Times New Roman"/>
                <w:sz w:val="28"/>
                <w:szCs w:val="28"/>
              </w:rPr>
              <w:t xml:space="preserve">администрации Здвинского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C32DE6" w:rsidRPr="00E744F0" w:rsidRDefault="00C32DE6" w:rsidP="00E115B5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F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32DE6" w:rsidRDefault="005E2D58" w:rsidP="00E115B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C32DE6">
              <w:rPr>
                <w:rFonts w:ascii="Times New Roman" w:hAnsi="Times New Roman"/>
                <w:sz w:val="28"/>
                <w:szCs w:val="28"/>
              </w:rPr>
              <w:t xml:space="preserve">.01.2025 </w:t>
            </w:r>
            <w:r w:rsidR="006F0CEE">
              <w:rPr>
                <w:rFonts w:ascii="Times New Roman" w:hAnsi="Times New Roman"/>
                <w:sz w:val="28"/>
                <w:szCs w:val="28"/>
              </w:rPr>
              <w:t>№</w:t>
            </w:r>
            <w:r w:rsidR="00E115B5">
              <w:rPr>
                <w:rFonts w:ascii="Times New Roman" w:hAnsi="Times New Roman"/>
                <w:sz w:val="28"/>
                <w:szCs w:val="28"/>
              </w:rPr>
              <w:t xml:space="preserve"> 26-па</w:t>
            </w:r>
          </w:p>
        </w:tc>
      </w:tr>
    </w:tbl>
    <w:p w:rsidR="00C32DE6" w:rsidRPr="00EA7C01" w:rsidRDefault="00C32DE6" w:rsidP="00C32D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35D" w:rsidRDefault="005E2D58" w:rsidP="005E2D5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услуг,</w:t>
      </w:r>
    </w:p>
    <w:p w:rsidR="00C32DE6" w:rsidRDefault="005E2D58" w:rsidP="005E2D5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предоставляемых согласно гарантированному перечню услуг по погребению умерших (погибших)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е имеющих супруга, близких родственников, законного представителя или лиц, взявших на себя обязанности по погребению умершего на территории Здвинского района Новосибирской области с 01.02.2025 года</w:t>
      </w: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3199"/>
      </w:tblGrid>
      <w:tr w:rsidR="005E2D58" w:rsidRPr="009B118C" w:rsidTr="00E115B5">
        <w:trPr>
          <w:cantSplit/>
          <w:trHeight w:val="33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58" w:rsidRPr="009B118C" w:rsidRDefault="00E115B5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E2D58" w:rsidRPr="009B11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D58" w:rsidRPr="009B118C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5E2D58" w:rsidRPr="009B11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5E2D58" w:rsidRPr="009B118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услуг по погребению</w:t>
            </w:r>
          </w:p>
        </w:tc>
      </w:tr>
      <w:tr w:rsidR="005E2D58" w:rsidRPr="009B118C" w:rsidTr="00E115B5">
        <w:trPr>
          <w:cantSplit/>
          <w:trHeight w:val="29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5E2D58" w:rsidRPr="009B118C" w:rsidTr="00E115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2D58" w:rsidRPr="009B118C" w:rsidTr="00E115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655,89</w:t>
            </w:r>
          </w:p>
        </w:tc>
      </w:tr>
      <w:tr w:rsidR="005E2D58" w:rsidRPr="009B118C" w:rsidTr="00E115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Предоставление гроба                                    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2 936,62</w:t>
            </w:r>
          </w:p>
        </w:tc>
      </w:tr>
      <w:tr w:rsidR="005E2D58" w:rsidRPr="009B118C" w:rsidTr="00E115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  <w:r>
              <w:rPr>
                <w:rFonts w:ascii="Times New Roman" w:hAnsi="Times New Roman"/>
                <w:sz w:val="28"/>
                <w:szCs w:val="28"/>
              </w:rPr>
              <w:t>(в крематорий)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2 465,98</w:t>
            </w:r>
          </w:p>
        </w:tc>
      </w:tr>
      <w:tr w:rsidR="005E2D58" w:rsidRPr="009B118C" w:rsidTr="00E115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5 523,60</w:t>
            </w:r>
          </w:p>
        </w:tc>
      </w:tr>
      <w:tr w:rsidR="005E2D58" w:rsidRPr="009B118C" w:rsidTr="00E115B5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18C">
              <w:rPr>
                <w:rFonts w:ascii="Times New Roman" w:hAnsi="Times New Roman"/>
                <w:sz w:val="28"/>
                <w:szCs w:val="28"/>
              </w:rPr>
              <w:t xml:space="preserve"> стоимость рытья стандартной могилы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3 852,69</w:t>
            </w:r>
          </w:p>
        </w:tc>
      </w:tr>
      <w:tr w:rsidR="005E2D58" w:rsidTr="00E115B5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2D58" w:rsidRPr="00A47945" w:rsidTr="00E115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932CCB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9B118C" w:rsidRDefault="00932CCB" w:rsidP="00AD1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D58" w:rsidRPr="00A47945" w:rsidRDefault="005E2D58" w:rsidP="00AD1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11 582,09</w:t>
            </w:r>
          </w:p>
        </w:tc>
      </w:tr>
    </w:tbl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7BF" w:rsidRDefault="001147BF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32DE6" w:rsidTr="001147BF">
        <w:tc>
          <w:tcPr>
            <w:tcW w:w="4926" w:type="dxa"/>
          </w:tcPr>
          <w:p w:rsidR="00C32DE6" w:rsidRDefault="00C32DE6" w:rsidP="00934F2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147BF" w:rsidRDefault="00C32DE6" w:rsidP="001147BF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  <w:p w:rsidR="001147BF" w:rsidRDefault="00C32DE6" w:rsidP="001147BF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114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4F0">
              <w:rPr>
                <w:rFonts w:ascii="Times New Roman" w:hAnsi="Times New Roman"/>
                <w:sz w:val="28"/>
                <w:szCs w:val="28"/>
              </w:rPr>
              <w:t>администрации Здвинского</w:t>
            </w:r>
            <w:r w:rsidR="00114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C32DE6" w:rsidRPr="00E744F0" w:rsidRDefault="00C32DE6" w:rsidP="001147BF">
            <w:pPr>
              <w:tabs>
                <w:tab w:val="left" w:pos="76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F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32DE6" w:rsidRDefault="005E2D58" w:rsidP="001147B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</w:t>
            </w:r>
            <w:r w:rsidR="00C32DE6">
              <w:rPr>
                <w:rFonts w:ascii="Times New Roman" w:hAnsi="Times New Roman"/>
                <w:sz w:val="28"/>
                <w:szCs w:val="28"/>
              </w:rPr>
              <w:t xml:space="preserve">.01.2025 </w:t>
            </w:r>
            <w:r w:rsidR="006F0CEE">
              <w:rPr>
                <w:rFonts w:ascii="Times New Roman" w:hAnsi="Times New Roman"/>
                <w:sz w:val="28"/>
                <w:szCs w:val="28"/>
              </w:rPr>
              <w:t>№</w:t>
            </w:r>
            <w:r w:rsidR="001147BF">
              <w:rPr>
                <w:rFonts w:ascii="Times New Roman" w:hAnsi="Times New Roman"/>
                <w:sz w:val="28"/>
                <w:szCs w:val="28"/>
              </w:rPr>
              <w:t xml:space="preserve"> 26-па</w:t>
            </w:r>
          </w:p>
        </w:tc>
      </w:tr>
    </w:tbl>
    <w:p w:rsidR="00C32DE6" w:rsidRPr="00EA7C01" w:rsidRDefault="00C32DE6" w:rsidP="00C32D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DE6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DE6" w:rsidRPr="00EA7C01" w:rsidRDefault="00C32DE6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150" w:rsidRPr="00EA7C01" w:rsidRDefault="00953150" w:rsidP="00EA7C01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7C01">
        <w:rPr>
          <w:rFonts w:ascii="Times New Roman" w:hAnsi="Times New Roman"/>
          <w:sz w:val="28"/>
          <w:szCs w:val="28"/>
        </w:rPr>
        <w:t>Требования к качеству услуг,</w:t>
      </w:r>
    </w:p>
    <w:p w:rsidR="00953150" w:rsidRPr="00EA7C01" w:rsidRDefault="00953150" w:rsidP="00EA7C01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7C01">
        <w:rPr>
          <w:rFonts w:ascii="Times New Roman" w:hAnsi="Times New Roman"/>
          <w:sz w:val="28"/>
          <w:szCs w:val="28"/>
        </w:rPr>
        <w:t xml:space="preserve">предоставляемых согласно гарантированному перечню услуг по </w:t>
      </w:r>
      <w:r w:rsidR="00654FB2" w:rsidRPr="00EA7C01">
        <w:rPr>
          <w:rFonts w:ascii="Times New Roman" w:hAnsi="Times New Roman"/>
          <w:sz w:val="28"/>
          <w:szCs w:val="28"/>
        </w:rPr>
        <w:t xml:space="preserve">погребению на территории </w:t>
      </w:r>
      <w:r w:rsidR="000C07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7C01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953150" w:rsidRDefault="00953150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62F" w:rsidRPr="00EA7C01" w:rsidRDefault="00F1162F" w:rsidP="00F1162F">
      <w:pPr>
        <w:tabs>
          <w:tab w:val="left" w:pos="76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FB2" w:rsidRPr="00EA7C01" w:rsidRDefault="00654FB2" w:rsidP="00F116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01">
        <w:rPr>
          <w:rFonts w:ascii="Times New Roman" w:hAnsi="Times New Roman"/>
          <w:sz w:val="28"/>
          <w:szCs w:val="28"/>
        </w:rPr>
        <w:t>1.</w:t>
      </w:r>
      <w:r w:rsidR="00F1162F">
        <w:rPr>
          <w:rFonts w:ascii="Times New Roman" w:hAnsi="Times New Roman"/>
          <w:sz w:val="28"/>
          <w:szCs w:val="28"/>
        </w:rPr>
        <w:t> </w:t>
      </w:r>
      <w:r w:rsidRPr="00EA7C01">
        <w:rPr>
          <w:rFonts w:ascii="Times New Roman" w:hAnsi="Times New Roman"/>
          <w:sz w:val="28"/>
          <w:szCs w:val="28"/>
        </w:rPr>
        <w:t xml:space="preserve">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другими правовыми актами, которые в соответствии с законодательством Российской Федерации устанавливают обязательные требования к </w:t>
      </w:r>
      <w:r w:rsidR="00094235" w:rsidRPr="00EA7C01">
        <w:rPr>
          <w:rFonts w:ascii="Times New Roman" w:hAnsi="Times New Roman"/>
          <w:sz w:val="28"/>
          <w:szCs w:val="28"/>
        </w:rPr>
        <w:t>услугам</w:t>
      </w:r>
      <w:r w:rsidRPr="00EA7C01">
        <w:rPr>
          <w:rFonts w:ascii="Times New Roman" w:hAnsi="Times New Roman"/>
          <w:sz w:val="28"/>
          <w:szCs w:val="28"/>
        </w:rPr>
        <w:t xml:space="preserve"> и продукции в сфере оказания ритуальных услуг.</w:t>
      </w:r>
    </w:p>
    <w:p w:rsidR="00953150" w:rsidRPr="00EA7C01" w:rsidRDefault="00654FB2" w:rsidP="00F116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01">
        <w:rPr>
          <w:rFonts w:ascii="Times New Roman" w:hAnsi="Times New Roman"/>
          <w:sz w:val="28"/>
          <w:szCs w:val="28"/>
        </w:rPr>
        <w:t>2</w:t>
      </w:r>
      <w:r w:rsidR="00953150" w:rsidRPr="00EA7C01">
        <w:rPr>
          <w:rFonts w:ascii="Times New Roman" w:hAnsi="Times New Roman"/>
          <w:sz w:val="28"/>
          <w:szCs w:val="28"/>
        </w:rPr>
        <w:t>.</w:t>
      </w:r>
      <w:r w:rsidR="00F1162F">
        <w:rPr>
          <w:rFonts w:ascii="Times New Roman" w:hAnsi="Times New Roman"/>
          <w:sz w:val="28"/>
          <w:szCs w:val="28"/>
        </w:rPr>
        <w:t> </w:t>
      </w:r>
      <w:r w:rsidRPr="00EA7C01">
        <w:rPr>
          <w:rFonts w:ascii="Times New Roman" w:hAnsi="Times New Roman"/>
          <w:sz w:val="28"/>
          <w:szCs w:val="28"/>
        </w:rPr>
        <w:t xml:space="preserve">Качество услуг, предоставляемых согласно гарантированному перечню услуг </w:t>
      </w:r>
      <w:r w:rsidR="00094235" w:rsidRPr="00EA7C01">
        <w:rPr>
          <w:rFonts w:ascii="Times New Roman" w:hAnsi="Times New Roman"/>
          <w:sz w:val="28"/>
          <w:szCs w:val="28"/>
        </w:rPr>
        <w:t>по погребению у</w:t>
      </w:r>
      <w:r w:rsidR="00953150" w:rsidRPr="00EA7C01">
        <w:rPr>
          <w:rFonts w:ascii="Times New Roman" w:hAnsi="Times New Roman"/>
          <w:sz w:val="28"/>
          <w:szCs w:val="28"/>
        </w:rPr>
        <w:t xml:space="preserve">мерших (погибших) граждан, имеющих супруга, родственников, законного представителя умершего или иного лица, взявшего на себя обязанность </w:t>
      </w:r>
      <w:r w:rsidR="00094235" w:rsidRPr="00EA7C01">
        <w:rPr>
          <w:rFonts w:ascii="Times New Roman" w:hAnsi="Times New Roman"/>
          <w:sz w:val="28"/>
          <w:szCs w:val="28"/>
        </w:rPr>
        <w:t>осуществить погребение умершего:</w:t>
      </w:r>
    </w:p>
    <w:tbl>
      <w:tblPr>
        <w:tblW w:w="49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96"/>
        <w:gridCol w:w="5782"/>
      </w:tblGrid>
      <w:tr w:rsidR="00953150" w:rsidRPr="00F1162F" w:rsidTr="00F1162F">
        <w:tc>
          <w:tcPr>
            <w:tcW w:w="29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6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6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1" w:type="pct"/>
          </w:tcPr>
          <w:p w:rsidR="00953150" w:rsidRPr="00F1162F" w:rsidRDefault="00953150" w:rsidP="00F1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2964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F1162F" w:rsidTr="00F1162F">
        <w:tc>
          <w:tcPr>
            <w:tcW w:w="29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964" w:type="pct"/>
          </w:tcPr>
          <w:p w:rsidR="00953150" w:rsidRPr="00F1162F" w:rsidRDefault="00154B9E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форме, счёта-заказа на погребение</w:t>
            </w:r>
          </w:p>
        </w:tc>
      </w:tr>
      <w:tr w:rsidR="00953150" w:rsidRPr="00F1162F" w:rsidTr="00F1162F">
        <w:trPr>
          <w:trHeight w:val="803"/>
        </w:trPr>
        <w:tc>
          <w:tcPr>
            <w:tcW w:w="295" w:type="pct"/>
            <w:tcBorders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pct"/>
            <w:tcBorders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</w:t>
            </w:r>
            <w:r w:rsidR="00094235" w:rsidRPr="00F1162F">
              <w:rPr>
                <w:rFonts w:ascii="Times New Roman" w:hAnsi="Times New Roman"/>
                <w:sz w:val="24"/>
                <w:szCs w:val="24"/>
              </w:rPr>
              <w:t>тов, необходимых для погребения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964" w:type="pct"/>
            <w:tcBorders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F1162F" w:rsidTr="00F1162F">
        <w:trPr>
          <w:trHeight w:val="899"/>
        </w:trPr>
        <w:tc>
          <w:tcPr>
            <w:tcW w:w="295" w:type="pct"/>
            <w:vMerge w:val="restar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2964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F1162F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="00B93703">
              <w:rPr>
                <w:rFonts w:ascii="Times New Roman" w:hAnsi="Times New Roman"/>
                <w:sz w:val="24"/>
                <w:szCs w:val="24"/>
              </w:rPr>
              <w:t xml:space="preserve"> обитый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внутри и снаружи хлопчатобумажной тканью (размер 1,975м х 0,605м х 0,44м)</w:t>
            </w:r>
          </w:p>
        </w:tc>
      </w:tr>
      <w:tr w:rsidR="00953150" w:rsidRPr="00F1162F" w:rsidTr="00F1162F">
        <w:trPr>
          <w:trHeight w:val="1056"/>
        </w:trPr>
        <w:tc>
          <w:tcPr>
            <w:tcW w:w="295" w:type="pct"/>
            <w:vMerge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2964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Предоставление ритуальных принадлежностей: покрывало хлопчатобумажное (размер 2,0 м х 0,65 м), подушка (наволочка из ткани хлопчатобумажной, размер 0,5м х 0,5 м, набитая древесными опилками)</w:t>
            </w:r>
          </w:p>
        </w:tc>
      </w:tr>
      <w:tr w:rsidR="00953150" w:rsidRPr="00F1162F" w:rsidTr="00F1162F">
        <w:trPr>
          <w:trHeight w:val="555"/>
        </w:trPr>
        <w:tc>
          <w:tcPr>
            <w:tcW w:w="295" w:type="pct"/>
            <w:vMerge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2964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</w:t>
            </w:r>
          </w:p>
        </w:tc>
      </w:tr>
      <w:tr w:rsidR="00953150" w:rsidRPr="00F1162F" w:rsidTr="00F1162F">
        <w:trPr>
          <w:trHeight w:val="987"/>
        </w:trPr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964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Регистрационная табличка –</w:t>
            </w:r>
            <w:r w:rsidR="00154B9E" w:rsidRPr="00F1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пластиковая с указанием фамилии, имени, отчества, даты рождения и смерти, регистрационный номер (написаны), размер таблички 19 х</w:t>
            </w:r>
            <w:r w:rsidR="00AA5CF4" w:rsidRPr="00F1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24 см</w:t>
            </w:r>
          </w:p>
        </w:tc>
      </w:tr>
      <w:tr w:rsidR="00953150" w:rsidRPr="00F1162F" w:rsidTr="00F1162F">
        <w:trPr>
          <w:trHeight w:val="1042"/>
        </w:trPr>
        <w:tc>
          <w:tcPr>
            <w:tcW w:w="295" w:type="pc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41" w:type="pc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2964" w:type="pc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</w:t>
            </w:r>
          </w:p>
        </w:tc>
      </w:tr>
      <w:tr w:rsidR="00953150" w:rsidRPr="00F1162F" w:rsidTr="00F1162F">
        <w:tc>
          <w:tcPr>
            <w:tcW w:w="29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964" w:type="pct"/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</w:t>
            </w:r>
            <w:r w:rsidR="005E2A2C" w:rsidRPr="00F1162F">
              <w:rPr>
                <w:rFonts w:ascii="Times New Roman" w:hAnsi="Times New Roman"/>
                <w:sz w:val="24"/>
                <w:szCs w:val="24"/>
              </w:rPr>
              <w:t>онения. Перенос гроба до могилы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3150" w:rsidRPr="00F1162F" w:rsidTr="00F1162F">
        <w:tc>
          <w:tcPr>
            <w:tcW w:w="29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2964" w:type="pct"/>
          </w:tcPr>
          <w:p w:rsidR="00953150" w:rsidRPr="00F1162F" w:rsidRDefault="00154B9E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 xml:space="preserve">Копка стандартной могилы с расчисткой места захоронения от снега в зимнее время. Рытьё могилы размером 2,0 м  х  1,0 м  х 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F1162F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F1162F">
              <w:rPr>
                <w:rFonts w:ascii="Times New Roman" w:hAnsi="Times New Roman"/>
                <w:sz w:val="24"/>
                <w:szCs w:val="24"/>
              </w:rPr>
              <w:t xml:space="preserve">. Снятие гроба с телом умершего с автокатафалка и перенос до места захоронения, забивка крышки гроба и опускание гроба в могилу. Засыпка могилы, устройство надмогильного холма. Установка креста с регистрационным знаком с надписью (ФИО, </w:t>
            </w:r>
            <w:r w:rsidR="00F1162F">
              <w:rPr>
                <w:rFonts w:ascii="Times New Roman" w:hAnsi="Times New Roman"/>
                <w:sz w:val="24"/>
                <w:szCs w:val="24"/>
              </w:rPr>
              <w:t>дата рождения и смерти)</w:t>
            </w:r>
          </w:p>
        </w:tc>
      </w:tr>
    </w:tbl>
    <w:p w:rsidR="00953150" w:rsidRPr="00EA7C01" w:rsidRDefault="00094235" w:rsidP="00F1162F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01">
        <w:rPr>
          <w:rFonts w:ascii="Times New Roman" w:hAnsi="Times New Roman"/>
          <w:sz w:val="28"/>
          <w:szCs w:val="28"/>
        </w:rPr>
        <w:t>3</w:t>
      </w:r>
      <w:r w:rsidR="00F1162F">
        <w:rPr>
          <w:rFonts w:ascii="Times New Roman" w:hAnsi="Times New Roman"/>
          <w:sz w:val="28"/>
          <w:szCs w:val="28"/>
        </w:rPr>
        <w:t>. </w:t>
      </w:r>
      <w:r w:rsidRPr="00EA7C01">
        <w:rPr>
          <w:rFonts w:ascii="Times New Roman" w:hAnsi="Times New Roman"/>
          <w:sz w:val="28"/>
          <w:szCs w:val="28"/>
        </w:rPr>
        <w:t>Качество услуг, предоставляемых согласно гарантированному перечню услуг по погребению у</w:t>
      </w:r>
      <w:r w:rsidR="00953150" w:rsidRPr="00EA7C01">
        <w:rPr>
          <w:rFonts w:ascii="Times New Roman" w:hAnsi="Times New Roman"/>
          <w:sz w:val="28"/>
          <w:szCs w:val="28"/>
        </w:rPr>
        <w:t>мерших (погиб</w:t>
      </w:r>
      <w:r w:rsidR="005E2A2C" w:rsidRPr="00EA7C01">
        <w:rPr>
          <w:rFonts w:ascii="Times New Roman" w:hAnsi="Times New Roman"/>
          <w:sz w:val="28"/>
          <w:szCs w:val="28"/>
        </w:rPr>
        <w:t xml:space="preserve">ших) </w:t>
      </w:r>
      <w:r w:rsidR="00953150" w:rsidRPr="00EA7C01">
        <w:rPr>
          <w:rFonts w:ascii="Times New Roman" w:hAnsi="Times New Roman"/>
          <w:sz w:val="28"/>
          <w:szCs w:val="28"/>
        </w:rPr>
        <w:t>граждан, не имеющих</w:t>
      </w:r>
      <w:r w:rsidR="00F1162F">
        <w:rPr>
          <w:rFonts w:ascii="Times New Roman" w:hAnsi="Times New Roman"/>
          <w:sz w:val="28"/>
          <w:szCs w:val="28"/>
        </w:rPr>
        <w:t xml:space="preserve"> супруга, близких </w:t>
      </w:r>
      <w:r w:rsidR="00953150" w:rsidRPr="00EA7C01">
        <w:rPr>
          <w:rFonts w:ascii="Times New Roman" w:hAnsi="Times New Roman"/>
          <w:sz w:val="28"/>
          <w:szCs w:val="28"/>
        </w:rPr>
        <w:t xml:space="preserve">родственников, законного представителя или иных лиц, </w:t>
      </w:r>
      <w:r w:rsidR="00F1162F">
        <w:rPr>
          <w:rFonts w:ascii="Times New Roman" w:hAnsi="Times New Roman"/>
          <w:sz w:val="28"/>
          <w:szCs w:val="28"/>
        </w:rPr>
        <w:t>взявших на себя обязанности</w:t>
      </w:r>
      <w:r w:rsidR="00953150" w:rsidRPr="00EA7C01">
        <w:rPr>
          <w:rFonts w:ascii="Times New Roman" w:hAnsi="Times New Roman"/>
          <w:sz w:val="28"/>
          <w:szCs w:val="28"/>
        </w:rPr>
        <w:t xml:space="preserve"> </w:t>
      </w:r>
      <w:r w:rsidRPr="00EA7C01">
        <w:rPr>
          <w:rFonts w:ascii="Times New Roman" w:hAnsi="Times New Roman"/>
          <w:sz w:val="28"/>
          <w:szCs w:val="28"/>
        </w:rPr>
        <w:t>осуществить погребение умершего:</w:t>
      </w:r>
    </w:p>
    <w:tbl>
      <w:tblPr>
        <w:tblW w:w="505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97"/>
        <w:gridCol w:w="5990"/>
      </w:tblGrid>
      <w:tr w:rsidR="00953150" w:rsidRPr="00F1162F" w:rsidTr="00F1162F">
        <w:trPr>
          <w:trHeight w:val="540"/>
        </w:trPr>
        <w:tc>
          <w:tcPr>
            <w:tcW w:w="285" w:type="pct"/>
          </w:tcPr>
          <w:p w:rsidR="00F1162F" w:rsidRDefault="00F1162F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16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6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7" w:type="pct"/>
          </w:tcPr>
          <w:p w:rsidR="00953150" w:rsidRPr="00F1162F" w:rsidRDefault="00953150" w:rsidP="00F1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08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F1162F" w:rsidTr="00F1162F">
        <w:trPr>
          <w:trHeight w:val="1284"/>
        </w:trPr>
        <w:tc>
          <w:tcPr>
            <w:tcW w:w="28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08" w:type="pct"/>
          </w:tcPr>
          <w:p w:rsidR="00953150" w:rsidRPr="00F1162F" w:rsidRDefault="00154B9E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услуг, сч</w:t>
            </w:r>
            <w:r w:rsidR="00F1162F">
              <w:rPr>
                <w:rFonts w:ascii="Times New Roman" w:hAnsi="Times New Roman"/>
                <w:sz w:val="24"/>
                <w:szCs w:val="24"/>
              </w:rPr>
              <w:t>е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та-заказа на погребение</w:t>
            </w:r>
          </w:p>
        </w:tc>
      </w:tr>
      <w:tr w:rsidR="00953150" w:rsidRPr="00F1162F" w:rsidTr="00F1162F">
        <w:trPr>
          <w:trHeight w:val="736"/>
        </w:trPr>
        <w:tc>
          <w:tcPr>
            <w:tcW w:w="28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008" w:type="pct"/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</w:t>
            </w:r>
            <w:r w:rsidR="00F1162F">
              <w:rPr>
                <w:rFonts w:ascii="Times New Roman" w:hAnsi="Times New Roman"/>
                <w:sz w:val="24"/>
                <w:szCs w:val="24"/>
              </w:rPr>
              <w:t xml:space="preserve">го для облачения (обертывания)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тела (останков) умершего</w:t>
            </w:r>
          </w:p>
        </w:tc>
      </w:tr>
      <w:tr w:rsidR="00953150" w:rsidRPr="00F1162F" w:rsidTr="00F1162F">
        <w:trPr>
          <w:trHeight w:val="324"/>
        </w:trPr>
        <w:tc>
          <w:tcPr>
            <w:tcW w:w="285" w:type="pct"/>
            <w:tcBorders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008" w:type="pct"/>
            <w:tcBorders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F1162F" w:rsidTr="00F1162F">
        <w:trPr>
          <w:trHeight w:val="842"/>
        </w:trPr>
        <w:tc>
          <w:tcPr>
            <w:tcW w:w="285" w:type="pct"/>
            <w:vMerge w:val="restar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0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Гроб стандартный деревя</w:t>
            </w:r>
            <w:r w:rsidR="00F1162F">
              <w:rPr>
                <w:rFonts w:ascii="Times New Roman" w:hAnsi="Times New Roman"/>
                <w:sz w:val="24"/>
                <w:szCs w:val="24"/>
              </w:rPr>
              <w:t xml:space="preserve">нный, неокрашенный, без обивки толщиной 25 мм,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размером 1,975 м х 0,605 м х</w:t>
            </w:r>
            <w:proofErr w:type="gramStart"/>
            <w:r w:rsidRPr="00F1162F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F1162F">
              <w:rPr>
                <w:rFonts w:ascii="Times New Roman" w:hAnsi="Times New Roman"/>
                <w:sz w:val="24"/>
                <w:szCs w:val="24"/>
              </w:rPr>
              <w:t>,44 м, на дно укладывается от 1 до 2,5 м полиэтиленовой пленки</w:t>
            </w:r>
          </w:p>
        </w:tc>
      </w:tr>
      <w:tr w:rsidR="00953150" w:rsidRPr="00F1162F" w:rsidTr="00F1162F">
        <w:trPr>
          <w:trHeight w:val="530"/>
        </w:trPr>
        <w:tc>
          <w:tcPr>
            <w:tcW w:w="285" w:type="pct"/>
            <w:vMerge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B93703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53150" w:rsidRPr="00F1162F">
              <w:rPr>
                <w:rFonts w:ascii="Times New Roman" w:hAnsi="Times New Roman"/>
                <w:sz w:val="24"/>
                <w:szCs w:val="24"/>
              </w:rPr>
              <w:t>рест</w:t>
            </w:r>
          </w:p>
        </w:tc>
        <w:tc>
          <w:tcPr>
            <w:tcW w:w="300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F1162F" w:rsidRDefault="00F1162F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</w:t>
            </w:r>
            <w:r w:rsidR="00953150" w:rsidRPr="00F1162F">
              <w:rPr>
                <w:rFonts w:ascii="Times New Roman" w:hAnsi="Times New Roman"/>
                <w:sz w:val="24"/>
                <w:szCs w:val="24"/>
              </w:rPr>
              <w:t xml:space="preserve"> стандартный строганный, из пиломатериалов, размер 2,3 м</w:t>
            </w:r>
          </w:p>
        </w:tc>
      </w:tr>
      <w:tr w:rsidR="00953150" w:rsidRPr="00F1162F" w:rsidTr="00F1162F">
        <w:trPr>
          <w:trHeight w:val="900"/>
        </w:trPr>
        <w:tc>
          <w:tcPr>
            <w:tcW w:w="285" w:type="pct"/>
            <w:vMerge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08" w:type="pc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</w:t>
            </w:r>
          </w:p>
        </w:tc>
      </w:tr>
      <w:tr w:rsidR="00953150" w:rsidRPr="00F1162F" w:rsidTr="00F1162F">
        <w:trPr>
          <w:trHeight w:val="1250"/>
        </w:trPr>
        <w:tc>
          <w:tcPr>
            <w:tcW w:w="28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707" w:type="pc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08" w:type="pct"/>
            <w:tcBorders>
              <w:top w:val="single" w:sz="4" w:space="0" w:color="auto"/>
            </w:tcBorders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Сн</w:t>
            </w:r>
            <w:r w:rsidR="00F1162F">
              <w:rPr>
                <w:rFonts w:ascii="Times New Roman" w:hAnsi="Times New Roman"/>
                <w:sz w:val="24"/>
                <w:szCs w:val="24"/>
              </w:rPr>
              <w:t xml:space="preserve">ятие гроба и других предметов,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необходимых для погребения, со стеллажа, вынос их из помещения предприятия и погрузка в автокатафалк.</w:t>
            </w:r>
            <w:r w:rsidR="00F1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</w:t>
            </w:r>
          </w:p>
        </w:tc>
      </w:tr>
      <w:tr w:rsidR="00953150" w:rsidRPr="00F1162F" w:rsidTr="00F1162F">
        <w:trPr>
          <w:trHeight w:val="1016"/>
        </w:trPr>
        <w:tc>
          <w:tcPr>
            <w:tcW w:w="28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7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08" w:type="pct"/>
          </w:tcPr>
          <w:p w:rsidR="00953150" w:rsidRPr="00F1162F" w:rsidRDefault="00953150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</w:t>
            </w:r>
          </w:p>
        </w:tc>
      </w:tr>
      <w:tr w:rsidR="00953150" w:rsidRPr="00F1162F" w:rsidTr="00F1162F">
        <w:trPr>
          <w:trHeight w:val="1131"/>
        </w:trPr>
        <w:tc>
          <w:tcPr>
            <w:tcW w:w="285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7" w:type="pct"/>
          </w:tcPr>
          <w:p w:rsidR="00953150" w:rsidRPr="00F1162F" w:rsidRDefault="00953150" w:rsidP="00F1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008" w:type="pct"/>
          </w:tcPr>
          <w:p w:rsidR="00953150" w:rsidRPr="00F1162F" w:rsidRDefault="00C62789" w:rsidP="00F1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2F">
              <w:rPr>
                <w:rFonts w:ascii="Times New Roman" w:hAnsi="Times New Roman"/>
                <w:sz w:val="24"/>
                <w:szCs w:val="24"/>
              </w:rPr>
              <w:t>Копка стандартной могилы с расчисткой места захоронения от снега в зимнее вре</w:t>
            </w:r>
            <w:r w:rsidR="00F1162F">
              <w:rPr>
                <w:rFonts w:ascii="Times New Roman" w:hAnsi="Times New Roman"/>
                <w:sz w:val="24"/>
                <w:szCs w:val="24"/>
              </w:rPr>
              <w:t xml:space="preserve">мя. Рытье могилы размером 2,0 м х 1,0 м х </w:t>
            </w:r>
            <w:r w:rsidRPr="00F1162F">
              <w:rPr>
                <w:rFonts w:ascii="Times New Roman" w:hAnsi="Times New Roman"/>
                <w:sz w:val="24"/>
                <w:szCs w:val="24"/>
              </w:rPr>
              <w:t xml:space="preserve">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F1162F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F1162F">
              <w:rPr>
                <w:rFonts w:ascii="Times New Roman" w:hAnsi="Times New Roman"/>
                <w:sz w:val="24"/>
                <w:szCs w:val="24"/>
              </w:rPr>
              <w:t>. Снятие гроба с телом умершего с автокатафалка и перенос до места захоронения, забивка крышки гроба и опускание гроба в могилу. Засыпка могилы, устройство надмогильного холма. Установка креста с регистрационным знаком с надпись</w:t>
            </w:r>
            <w:r w:rsidR="00F1162F">
              <w:rPr>
                <w:rFonts w:ascii="Times New Roman" w:hAnsi="Times New Roman"/>
                <w:sz w:val="24"/>
                <w:szCs w:val="24"/>
              </w:rPr>
              <w:t>ю (ФИО, дата рождения и смерти)</w:t>
            </w:r>
          </w:p>
        </w:tc>
      </w:tr>
    </w:tbl>
    <w:p w:rsidR="00EA7C01" w:rsidRPr="00EA7C01" w:rsidRDefault="00EA7C01" w:rsidP="00EA7C0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A7C01" w:rsidRPr="00EA7C01" w:rsidSect="009922D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150"/>
    <w:rsid w:val="0003618E"/>
    <w:rsid w:val="000424E2"/>
    <w:rsid w:val="00083DD0"/>
    <w:rsid w:val="00094235"/>
    <w:rsid w:val="000B189C"/>
    <w:rsid w:val="000C0701"/>
    <w:rsid w:val="000D2C8F"/>
    <w:rsid w:val="000E5819"/>
    <w:rsid w:val="001147BF"/>
    <w:rsid w:val="0014269C"/>
    <w:rsid w:val="00151B53"/>
    <w:rsid w:val="00154B9E"/>
    <w:rsid w:val="001A3BEA"/>
    <w:rsid w:val="001C2D3B"/>
    <w:rsid w:val="001C5861"/>
    <w:rsid w:val="0039140E"/>
    <w:rsid w:val="003E55F2"/>
    <w:rsid w:val="00401530"/>
    <w:rsid w:val="00401C28"/>
    <w:rsid w:val="004134A3"/>
    <w:rsid w:val="00440AE6"/>
    <w:rsid w:val="0044796E"/>
    <w:rsid w:val="004719BA"/>
    <w:rsid w:val="004E797C"/>
    <w:rsid w:val="004F35CC"/>
    <w:rsid w:val="00594F9D"/>
    <w:rsid w:val="005D584D"/>
    <w:rsid w:val="005E2A2C"/>
    <w:rsid w:val="005E2D58"/>
    <w:rsid w:val="00654FB2"/>
    <w:rsid w:val="006F0CEE"/>
    <w:rsid w:val="007778CA"/>
    <w:rsid w:val="007B3C02"/>
    <w:rsid w:val="007C6EA2"/>
    <w:rsid w:val="00815CB6"/>
    <w:rsid w:val="00895A33"/>
    <w:rsid w:val="008D180F"/>
    <w:rsid w:val="008D6A25"/>
    <w:rsid w:val="00905200"/>
    <w:rsid w:val="00932CCB"/>
    <w:rsid w:val="00953150"/>
    <w:rsid w:val="009862CD"/>
    <w:rsid w:val="009922DC"/>
    <w:rsid w:val="00A14F68"/>
    <w:rsid w:val="00AA5CF4"/>
    <w:rsid w:val="00AF54EB"/>
    <w:rsid w:val="00B70CFC"/>
    <w:rsid w:val="00B83B83"/>
    <w:rsid w:val="00B93703"/>
    <w:rsid w:val="00BC1222"/>
    <w:rsid w:val="00BD235D"/>
    <w:rsid w:val="00BE4252"/>
    <w:rsid w:val="00BE6B52"/>
    <w:rsid w:val="00BF336D"/>
    <w:rsid w:val="00C32DE6"/>
    <w:rsid w:val="00C5359C"/>
    <w:rsid w:val="00C62789"/>
    <w:rsid w:val="00C93EB2"/>
    <w:rsid w:val="00CC3A07"/>
    <w:rsid w:val="00CD2D49"/>
    <w:rsid w:val="00D93BAB"/>
    <w:rsid w:val="00D96BF8"/>
    <w:rsid w:val="00DC6C46"/>
    <w:rsid w:val="00E115B5"/>
    <w:rsid w:val="00E6706B"/>
    <w:rsid w:val="00E744F0"/>
    <w:rsid w:val="00EA44CB"/>
    <w:rsid w:val="00EA7C01"/>
    <w:rsid w:val="00F1162F"/>
    <w:rsid w:val="00F97168"/>
    <w:rsid w:val="00FC357B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4F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E115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Nadein-pc</cp:lastModifiedBy>
  <cp:revision>43</cp:revision>
  <cp:lastPrinted>2025-01-29T05:10:00Z</cp:lastPrinted>
  <dcterms:created xsi:type="dcterms:W3CDTF">2018-02-20T16:01:00Z</dcterms:created>
  <dcterms:modified xsi:type="dcterms:W3CDTF">2025-01-29T07:43:00Z</dcterms:modified>
</cp:coreProperties>
</file>