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54" w:rsidRPr="00FE6561" w:rsidRDefault="00231B54" w:rsidP="00231B54">
      <w:pPr>
        <w:jc w:val="center"/>
        <w:rPr>
          <w:b/>
          <w:sz w:val="28"/>
          <w:szCs w:val="28"/>
        </w:rPr>
      </w:pPr>
      <w:r w:rsidRPr="00FE6561">
        <w:rPr>
          <w:b/>
          <w:sz w:val="28"/>
          <w:szCs w:val="28"/>
        </w:rPr>
        <w:t>АДМИНИСТРАЦИЯ</w:t>
      </w:r>
    </w:p>
    <w:p w:rsidR="00231B54" w:rsidRPr="00FE6561" w:rsidRDefault="00231B54" w:rsidP="00231B54">
      <w:pPr>
        <w:jc w:val="center"/>
        <w:rPr>
          <w:b/>
          <w:sz w:val="28"/>
          <w:szCs w:val="28"/>
        </w:rPr>
      </w:pPr>
      <w:r w:rsidRPr="00FE6561">
        <w:rPr>
          <w:b/>
          <w:sz w:val="28"/>
          <w:szCs w:val="28"/>
        </w:rPr>
        <w:t>ЗДВИНСКОГО РАЙОНА НОВОСИБИРСКОЙ ОБЛАСТИ</w:t>
      </w:r>
    </w:p>
    <w:p w:rsidR="00231B54" w:rsidRPr="00B318AC" w:rsidRDefault="00231B54" w:rsidP="00B318AC">
      <w:pPr>
        <w:rPr>
          <w:sz w:val="22"/>
          <w:szCs w:val="28"/>
        </w:rPr>
      </w:pPr>
    </w:p>
    <w:p w:rsidR="00231B54" w:rsidRPr="00FE6561" w:rsidRDefault="00231B54" w:rsidP="00231B54">
      <w:pPr>
        <w:jc w:val="center"/>
        <w:rPr>
          <w:b/>
          <w:sz w:val="28"/>
          <w:szCs w:val="28"/>
        </w:rPr>
      </w:pPr>
      <w:r w:rsidRPr="00FE6561">
        <w:rPr>
          <w:b/>
          <w:sz w:val="28"/>
          <w:szCs w:val="28"/>
        </w:rPr>
        <w:t>ПОСТАНОВЛЕНИЕ</w:t>
      </w:r>
    </w:p>
    <w:p w:rsidR="00231B54" w:rsidRPr="00B318AC" w:rsidRDefault="00231B54" w:rsidP="00B318AC">
      <w:pPr>
        <w:rPr>
          <w:sz w:val="22"/>
          <w:szCs w:val="28"/>
        </w:rPr>
      </w:pPr>
    </w:p>
    <w:p w:rsidR="00231B54" w:rsidRPr="00FE6561" w:rsidRDefault="00F06836" w:rsidP="00231B5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872033">
        <w:rPr>
          <w:sz w:val="28"/>
          <w:szCs w:val="28"/>
        </w:rPr>
        <w:t>.06</w:t>
      </w:r>
      <w:r w:rsidR="00231B54">
        <w:rPr>
          <w:sz w:val="28"/>
          <w:szCs w:val="28"/>
        </w:rPr>
        <w:t>.20</w:t>
      </w:r>
      <w:r>
        <w:rPr>
          <w:sz w:val="28"/>
          <w:szCs w:val="28"/>
        </w:rPr>
        <w:t>21 № 162</w:t>
      </w:r>
      <w:r w:rsidR="00231B54" w:rsidRPr="00FE6561">
        <w:rPr>
          <w:sz w:val="28"/>
          <w:szCs w:val="28"/>
        </w:rPr>
        <w:t>-па</w:t>
      </w:r>
    </w:p>
    <w:p w:rsidR="00231B54" w:rsidRPr="00B318AC" w:rsidRDefault="00231B54" w:rsidP="00B318AC">
      <w:pPr>
        <w:rPr>
          <w:sz w:val="22"/>
          <w:szCs w:val="28"/>
        </w:rPr>
      </w:pPr>
    </w:p>
    <w:p w:rsidR="00231B54" w:rsidRDefault="00872033" w:rsidP="00B318AC">
      <w:pPr>
        <w:jc w:val="center"/>
        <w:rPr>
          <w:sz w:val="28"/>
          <w:szCs w:val="28"/>
        </w:rPr>
      </w:pPr>
      <w:r w:rsidRPr="00872033">
        <w:rPr>
          <w:sz w:val="28"/>
          <w:szCs w:val="28"/>
        </w:rPr>
        <w:t>О внесении изменений в постановление адми</w:t>
      </w:r>
      <w:r>
        <w:rPr>
          <w:sz w:val="28"/>
          <w:szCs w:val="28"/>
        </w:rPr>
        <w:t>нистрации Здвинского района</w:t>
      </w:r>
      <w:r w:rsidR="00F0683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28.07.2020 №</w:t>
      </w:r>
      <w:r w:rsidR="00B318AC">
        <w:rPr>
          <w:sz w:val="28"/>
          <w:szCs w:val="28"/>
        </w:rPr>
        <w:t xml:space="preserve"> </w:t>
      </w:r>
      <w:r>
        <w:rPr>
          <w:sz w:val="28"/>
          <w:szCs w:val="28"/>
        </w:rPr>
        <w:t>204-па</w:t>
      </w:r>
    </w:p>
    <w:p w:rsidR="00BD70B5" w:rsidRPr="00B318AC" w:rsidRDefault="00BD70B5" w:rsidP="00B318AC">
      <w:pPr>
        <w:jc w:val="both"/>
        <w:rPr>
          <w:sz w:val="22"/>
          <w:szCs w:val="28"/>
        </w:rPr>
      </w:pPr>
    </w:p>
    <w:p w:rsidR="00B318AC" w:rsidRPr="00B318AC" w:rsidRDefault="00B318AC" w:rsidP="00B318AC">
      <w:pPr>
        <w:jc w:val="both"/>
        <w:rPr>
          <w:sz w:val="22"/>
          <w:szCs w:val="28"/>
        </w:rPr>
      </w:pPr>
    </w:p>
    <w:p w:rsidR="00B318AC" w:rsidRDefault="00231B54" w:rsidP="00274421">
      <w:pPr>
        <w:ind w:firstLine="708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В </w:t>
      </w:r>
      <w:r w:rsidR="00BD70B5">
        <w:rPr>
          <w:sz w:val="28"/>
          <w:szCs w:val="28"/>
          <w:lang w:eastAsia="ru-RU"/>
        </w:rPr>
        <w:t>соответствии с</w:t>
      </w:r>
      <w:r w:rsidR="00872033">
        <w:rPr>
          <w:sz w:val="28"/>
          <w:szCs w:val="28"/>
          <w:lang w:eastAsia="ru-RU"/>
        </w:rPr>
        <w:t xml:space="preserve"> </w:t>
      </w:r>
      <w:r w:rsidR="00BD70B5">
        <w:rPr>
          <w:sz w:val="28"/>
          <w:szCs w:val="28"/>
          <w:lang w:eastAsia="ru-RU"/>
        </w:rPr>
        <w:t>Федеральным</w:t>
      </w:r>
      <w:r>
        <w:rPr>
          <w:sz w:val="28"/>
          <w:szCs w:val="28"/>
          <w:lang w:eastAsia="ru-RU"/>
        </w:rPr>
        <w:t xml:space="preserve"> закон</w:t>
      </w:r>
      <w:r w:rsidR="00BD70B5">
        <w:rPr>
          <w:sz w:val="28"/>
          <w:szCs w:val="28"/>
          <w:lang w:eastAsia="ru-RU"/>
        </w:rPr>
        <w:t>ом</w:t>
      </w:r>
      <w:r w:rsidRPr="00FE6561">
        <w:rPr>
          <w:sz w:val="28"/>
          <w:szCs w:val="28"/>
          <w:lang w:eastAsia="ru-RU"/>
        </w:rPr>
        <w:t xml:space="preserve"> от </w:t>
      </w:r>
      <w:r>
        <w:rPr>
          <w:sz w:val="28"/>
          <w:szCs w:val="28"/>
          <w:lang w:eastAsia="ru-RU"/>
        </w:rPr>
        <w:t>1</w:t>
      </w:r>
      <w:r w:rsidRPr="00FE6561">
        <w:rPr>
          <w:sz w:val="28"/>
          <w:szCs w:val="28"/>
          <w:lang w:eastAsia="ru-RU"/>
        </w:rPr>
        <w:t>3.07.2015 №</w:t>
      </w:r>
      <w:r w:rsidR="00B318AC">
        <w:rPr>
          <w:sz w:val="28"/>
          <w:szCs w:val="28"/>
          <w:lang w:eastAsia="ru-RU"/>
        </w:rPr>
        <w:t xml:space="preserve"> </w:t>
      </w:r>
      <w:r w:rsidRPr="00FE6561">
        <w:rPr>
          <w:sz w:val="28"/>
          <w:szCs w:val="28"/>
          <w:lang w:eastAsia="ru-RU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BD70B5">
        <w:rPr>
          <w:sz w:val="28"/>
          <w:szCs w:val="28"/>
          <w:lang w:eastAsia="ru-RU"/>
        </w:rPr>
        <w:t>, постановлением администрации Здвинского района Новосибирской области от 31.12.2019 № 418-па «</w:t>
      </w:r>
      <w:r w:rsidR="00BD70B5" w:rsidRPr="00BD70B5">
        <w:rPr>
          <w:sz w:val="28"/>
          <w:szCs w:val="28"/>
          <w:lang w:eastAsia="ru-RU"/>
        </w:rPr>
        <w:t>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на территории Здвинского района Новосибирской области на 2020 – 2022 годы</w:t>
      </w:r>
      <w:r w:rsidR="00BD70B5">
        <w:rPr>
          <w:sz w:val="28"/>
          <w:szCs w:val="28"/>
          <w:lang w:eastAsia="ru-RU"/>
        </w:rPr>
        <w:t>»</w:t>
      </w:r>
      <w:r w:rsidR="00B318AC">
        <w:rPr>
          <w:sz w:val="28"/>
          <w:szCs w:val="28"/>
          <w:lang w:eastAsia="ru-RU"/>
        </w:rPr>
        <w:t>,</w:t>
      </w:r>
      <w:r w:rsidR="00872033">
        <w:rPr>
          <w:sz w:val="28"/>
          <w:szCs w:val="28"/>
          <w:lang w:eastAsia="ru-RU"/>
        </w:rPr>
        <w:t xml:space="preserve"> </w:t>
      </w:r>
      <w:r w:rsidR="00B318AC" w:rsidRPr="00872033">
        <w:rPr>
          <w:rStyle w:val="1"/>
          <w:color w:val="000000"/>
          <w:sz w:val="28"/>
          <w:szCs w:val="28"/>
        </w:rPr>
        <w:t>администраци</w:t>
      </w:r>
      <w:r w:rsidR="00B318AC">
        <w:rPr>
          <w:rStyle w:val="1"/>
          <w:color w:val="000000"/>
          <w:sz w:val="28"/>
          <w:szCs w:val="28"/>
        </w:rPr>
        <w:t>я</w:t>
      </w:r>
      <w:r w:rsidR="00B318AC" w:rsidRPr="00872033">
        <w:rPr>
          <w:rStyle w:val="1"/>
          <w:color w:val="000000"/>
          <w:sz w:val="28"/>
          <w:szCs w:val="28"/>
        </w:rPr>
        <w:t xml:space="preserve"> Здвинского района Новосибирской области</w:t>
      </w:r>
    </w:p>
    <w:p w:rsidR="00231B54" w:rsidRDefault="00231B54" w:rsidP="00274421">
      <w:pPr>
        <w:ind w:firstLine="708"/>
        <w:jc w:val="both"/>
        <w:rPr>
          <w:sz w:val="28"/>
          <w:szCs w:val="28"/>
          <w:lang w:eastAsia="ru-RU"/>
        </w:rPr>
      </w:pPr>
      <w:r w:rsidRPr="00FE6561">
        <w:rPr>
          <w:sz w:val="28"/>
          <w:szCs w:val="28"/>
        </w:rPr>
        <w:t xml:space="preserve">п о с </w:t>
      </w:r>
      <w:proofErr w:type="gramStart"/>
      <w:r w:rsidRPr="00FE6561">
        <w:rPr>
          <w:sz w:val="28"/>
          <w:szCs w:val="28"/>
        </w:rPr>
        <w:t>т</w:t>
      </w:r>
      <w:proofErr w:type="gramEnd"/>
      <w:r w:rsidRPr="00FE6561">
        <w:rPr>
          <w:sz w:val="28"/>
          <w:szCs w:val="28"/>
        </w:rPr>
        <w:t xml:space="preserve"> а н о в л я </w:t>
      </w:r>
      <w:r w:rsidR="00B318AC">
        <w:rPr>
          <w:sz w:val="28"/>
          <w:szCs w:val="28"/>
        </w:rPr>
        <w:t>е т</w:t>
      </w:r>
      <w:r w:rsidRPr="00FE6561">
        <w:rPr>
          <w:sz w:val="28"/>
          <w:szCs w:val="28"/>
        </w:rPr>
        <w:t>:</w:t>
      </w:r>
    </w:p>
    <w:p w:rsidR="00BD70B5" w:rsidRPr="00B318AC" w:rsidRDefault="00BD70B5" w:rsidP="00231B54">
      <w:pPr>
        <w:jc w:val="both"/>
        <w:rPr>
          <w:sz w:val="22"/>
          <w:szCs w:val="28"/>
        </w:rPr>
      </w:pPr>
    </w:p>
    <w:p w:rsidR="00274421" w:rsidRPr="00B318AC" w:rsidRDefault="00B318AC" w:rsidP="00B318AC">
      <w:pPr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1. </w:t>
      </w:r>
      <w:r w:rsidR="00872033" w:rsidRPr="00B318AC">
        <w:rPr>
          <w:rStyle w:val="1"/>
          <w:color w:val="000000"/>
          <w:sz w:val="28"/>
          <w:szCs w:val="28"/>
        </w:rPr>
        <w:t xml:space="preserve">Внести в постановление администрации Здвинского района Новосибирской области от 28.07.2020 № 204-па «Об утверждении </w:t>
      </w:r>
      <w:r w:rsidR="00194F50" w:rsidRPr="00B318AC">
        <w:rPr>
          <w:sz w:val="28"/>
          <w:szCs w:val="28"/>
        </w:rPr>
        <w:t>План</w:t>
      </w:r>
      <w:r w:rsidR="00872033" w:rsidRPr="00B318AC">
        <w:rPr>
          <w:sz w:val="28"/>
          <w:szCs w:val="28"/>
        </w:rPr>
        <w:t>а мероприятий («дорожной карты</w:t>
      </w:r>
      <w:r w:rsidR="00194F50" w:rsidRPr="00B318AC">
        <w:rPr>
          <w:sz w:val="28"/>
          <w:szCs w:val="28"/>
        </w:rPr>
        <w:t xml:space="preserve">») по заключению муниципальных контрактов на организацию пассажирских перевозок на муниципальной маршрутной сети Здвинского района </w:t>
      </w:r>
      <w:r w:rsidR="00274421" w:rsidRPr="00B318AC">
        <w:rPr>
          <w:sz w:val="28"/>
          <w:szCs w:val="28"/>
        </w:rPr>
        <w:t xml:space="preserve">Новосибирской области </w:t>
      </w:r>
      <w:r w:rsidR="00194F50" w:rsidRPr="00B318AC">
        <w:rPr>
          <w:sz w:val="28"/>
          <w:szCs w:val="28"/>
        </w:rPr>
        <w:t xml:space="preserve">в соответствии с графиком, предусмотренным Документом планирования </w:t>
      </w:r>
      <w:r w:rsidR="00DD500D" w:rsidRPr="00B318AC">
        <w:rPr>
          <w:sz w:val="28"/>
          <w:szCs w:val="28"/>
        </w:rPr>
        <w:t>регулярных перевозок пассажиров и багажа автомобильным транспортом по муниципальным маршрутам регулярных перевозок на территории Здвинского района Новосибирской области на 2020-2022 годы</w:t>
      </w:r>
      <w:r w:rsidR="00872033" w:rsidRPr="00B318AC">
        <w:rPr>
          <w:sz w:val="28"/>
          <w:szCs w:val="28"/>
        </w:rPr>
        <w:t>» следующие изменения:</w:t>
      </w:r>
    </w:p>
    <w:p w:rsidR="00B318AC" w:rsidRDefault="00872033" w:rsidP="00B318AC">
      <w:pPr>
        <w:jc w:val="both"/>
        <w:rPr>
          <w:sz w:val="28"/>
          <w:szCs w:val="28"/>
        </w:rPr>
      </w:pPr>
      <w:r>
        <w:rPr>
          <w:sz w:val="28"/>
          <w:szCs w:val="26"/>
        </w:rPr>
        <w:t>1</w:t>
      </w:r>
      <w:r w:rsidR="00B318AC">
        <w:rPr>
          <w:sz w:val="28"/>
          <w:szCs w:val="26"/>
        </w:rPr>
        <w:t>.1. </w:t>
      </w:r>
      <w:r w:rsidRPr="00872033">
        <w:rPr>
          <w:sz w:val="28"/>
          <w:szCs w:val="28"/>
        </w:rPr>
        <w:t>План</w:t>
      </w:r>
      <w:r>
        <w:rPr>
          <w:sz w:val="28"/>
          <w:szCs w:val="28"/>
        </w:rPr>
        <w:t xml:space="preserve"> мероприятий («дорожную карту</w:t>
      </w:r>
      <w:r w:rsidRPr="00872033">
        <w:rPr>
          <w:sz w:val="28"/>
          <w:szCs w:val="28"/>
        </w:rPr>
        <w:t>») по заключению муниципальных контрактов на организацию пассажирских перевозок на муниципальной маршрутной сети Здвинского района Новосибирской области в соответствии с графиком, предусмотренным Документом планирования регулярных перевозок пассажиров и багажа автомобильным транспортом по муниципальным маршрутам регулярных перевозок на территории Здвинского района Новосибирской области на 2020-2022 годы</w:t>
      </w:r>
      <w:r>
        <w:rPr>
          <w:sz w:val="28"/>
          <w:szCs w:val="28"/>
        </w:rPr>
        <w:t xml:space="preserve"> изложить в прилагаемой редакции.</w:t>
      </w:r>
    </w:p>
    <w:p w:rsidR="00B318AC" w:rsidRPr="00B318AC" w:rsidRDefault="00B318AC" w:rsidP="00B318AC">
      <w:pPr>
        <w:jc w:val="both"/>
        <w:rPr>
          <w:sz w:val="22"/>
          <w:szCs w:val="28"/>
        </w:rPr>
      </w:pPr>
    </w:p>
    <w:p w:rsidR="00231B54" w:rsidRPr="00274421" w:rsidRDefault="00B318AC" w:rsidP="00274421">
      <w:pPr>
        <w:ind w:firstLine="709"/>
        <w:jc w:val="both"/>
      </w:pPr>
      <w:bookmarkStart w:id="0" w:name="_GoBack"/>
      <w:bookmarkEnd w:id="0"/>
      <w:r>
        <w:rPr>
          <w:sz w:val="28"/>
          <w:szCs w:val="26"/>
        </w:rPr>
        <w:t>2. </w:t>
      </w:r>
      <w:r w:rsidR="00231B54" w:rsidRPr="00A428FC">
        <w:rPr>
          <w:sz w:val="28"/>
          <w:szCs w:val="28"/>
          <w:lang w:eastAsia="ru-RU"/>
        </w:rPr>
        <w:t xml:space="preserve">Настоящее постановление вступает в силу с момента его </w:t>
      </w:r>
      <w:r w:rsidR="00194F50">
        <w:rPr>
          <w:sz w:val="28"/>
          <w:szCs w:val="28"/>
          <w:lang w:eastAsia="ru-RU"/>
        </w:rPr>
        <w:t>подписания.</w:t>
      </w:r>
    </w:p>
    <w:p w:rsidR="00BD70B5" w:rsidRPr="00B318AC" w:rsidRDefault="00BD70B5" w:rsidP="00B318AC">
      <w:pPr>
        <w:rPr>
          <w:sz w:val="28"/>
          <w:szCs w:val="28"/>
        </w:rPr>
      </w:pPr>
    </w:p>
    <w:p w:rsidR="00872033" w:rsidRDefault="00872033" w:rsidP="00B318AC">
      <w:pPr>
        <w:rPr>
          <w:sz w:val="28"/>
          <w:szCs w:val="28"/>
        </w:rPr>
      </w:pPr>
    </w:p>
    <w:p w:rsidR="00B318AC" w:rsidRPr="00B318AC" w:rsidRDefault="00B318AC" w:rsidP="00B318AC">
      <w:pPr>
        <w:rPr>
          <w:sz w:val="28"/>
          <w:szCs w:val="28"/>
        </w:rPr>
      </w:pPr>
    </w:p>
    <w:p w:rsidR="00231B54" w:rsidRPr="00FE6561" w:rsidRDefault="00231B54" w:rsidP="00231B54">
      <w:pPr>
        <w:rPr>
          <w:sz w:val="28"/>
        </w:rPr>
      </w:pPr>
      <w:r w:rsidRPr="00FE6561">
        <w:rPr>
          <w:sz w:val="28"/>
        </w:rPr>
        <w:t>Глава Здвинского района</w:t>
      </w:r>
    </w:p>
    <w:p w:rsidR="00BD70B5" w:rsidRPr="00194F50" w:rsidRDefault="00231B54" w:rsidP="00194F50">
      <w:pPr>
        <w:rPr>
          <w:sz w:val="28"/>
        </w:rPr>
      </w:pPr>
      <w:r w:rsidRPr="00FE6561">
        <w:rPr>
          <w:sz w:val="28"/>
        </w:rPr>
        <w:t xml:space="preserve">Новосибирской области                     </w:t>
      </w:r>
      <w:r w:rsidR="00872033">
        <w:rPr>
          <w:sz w:val="28"/>
        </w:rPr>
        <w:t xml:space="preserve">          </w:t>
      </w:r>
      <w:r w:rsidRPr="00FE6561">
        <w:rPr>
          <w:sz w:val="28"/>
        </w:rPr>
        <w:t xml:space="preserve">    </w:t>
      </w:r>
      <w:r w:rsidR="00B318AC">
        <w:rPr>
          <w:sz w:val="28"/>
        </w:rPr>
        <w:t xml:space="preserve">                     </w:t>
      </w:r>
      <w:r w:rsidRPr="00FE6561">
        <w:rPr>
          <w:sz w:val="28"/>
        </w:rPr>
        <w:t xml:space="preserve">     М.И. Колото</w:t>
      </w:r>
      <w:r w:rsidR="00194F50">
        <w:rPr>
          <w:sz w:val="28"/>
        </w:rPr>
        <w:t>в</w:t>
      </w:r>
    </w:p>
    <w:p w:rsidR="00872033" w:rsidRPr="00B318AC" w:rsidRDefault="00872033" w:rsidP="00B318AC">
      <w:pPr>
        <w:rPr>
          <w:sz w:val="28"/>
        </w:rPr>
      </w:pPr>
    </w:p>
    <w:p w:rsidR="00231B54" w:rsidRPr="00B318AC" w:rsidRDefault="00231B54" w:rsidP="00231B54">
      <w:pPr>
        <w:rPr>
          <w:sz w:val="20"/>
          <w:szCs w:val="20"/>
        </w:rPr>
      </w:pPr>
      <w:r w:rsidRPr="00B318AC">
        <w:rPr>
          <w:sz w:val="20"/>
          <w:szCs w:val="20"/>
        </w:rPr>
        <w:t>Толмачева Л.В.</w:t>
      </w:r>
    </w:p>
    <w:p w:rsidR="00194F50" w:rsidRPr="00B318AC" w:rsidRDefault="00231B54" w:rsidP="00194F50">
      <w:pPr>
        <w:rPr>
          <w:sz w:val="20"/>
          <w:szCs w:val="20"/>
        </w:rPr>
        <w:sectPr w:rsidR="00194F50" w:rsidRPr="00B318AC" w:rsidSect="00B318AC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  <w:r w:rsidRPr="00B318AC">
        <w:rPr>
          <w:sz w:val="20"/>
          <w:szCs w:val="20"/>
        </w:rPr>
        <w:t>21-285</w:t>
      </w:r>
    </w:p>
    <w:tbl>
      <w:tblPr>
        <w:tblStyle w:val="a6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194F50" w:rsidTr="00B318AC">
        <w:tc>
          <w:tcPr>
            <w:tcW w:w="4613" w:type="dxa"/>
          </w:tcPr>
          <w:p w:rsidR="00B318AC" w:rsidRDefault="00B318AC" w:rsidP="00B318A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2A0BCD" w:rsidRPr="004B5726" w:rsidRDefault="00872033" w:rsidP="00B318AC">
            <w:pPr>
              <w:jc w:val="center"/>
              <w:rPr>
                <w:sz w:val="28"/>
              </w:rPr>
            </w:pPr>
            <w:r w:rsidRPr="004B5726">
              <w:rPr>
                <w:sz w:val="28"/>
              </w:rPr>
              <w:t>к</w:t>
            </w:r>
            <w:r w:rsidR="00B318AC">
              <w:rPr>
                <w:sz w:val="28"/>
              </w:rPr>
              <w:t xml:space="preserve"> </w:t>
            </w:r>
            <w:r w:rsidR="00194F50" w:rsidRPr="004B5726">
              <w:rPr>
                <w:sz w:val="28"/>
              </w:rPr>
              <w:t>постановлени</w:t>
            </w:r>
            <w:r w:rsidRPr="004B5726">
              <w:rPr>
                <w:sz w:val="28"/>
              </w:rPr>
              <w:t>ю</w:t>
            </w:r>
            <w:r w:rsidR="00B318AC">
              <w:rPr>
                <w:sz w:val="28"/>
              </w:rPr>
              <w:t xml:space="preserve"> администрации</w:t>
            </w:r>
          </w:p>
          <w:p w:rsidR="00B318AC" w:rsidRDefault="00B318AC" w:rsidP="00B318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Здвинского района</w:t>
            </w:r>
          </w:p>
          <w:p w:rsidR="00194F50" w:rsidRPr="004B5726" w:rsidRDefault="00194F50" w:rsidP="00B318AC">
            <w:pPr>
              <w:jc w:val="center"/>
              <w:rPr>
                <w:sz w:val="28"/>
              </w:rPr>
            </w:pPr>
            <w:r w:rsidRPr="004B5726">
              <w:rPr>
                <w:sz w:val="28"/>
              </w:rPr>
              <w:t>Новосибирской области</w:t>
            </w:r>
          </w:p>
          <w:p w:rsidR="00194F50" w:rsidRPr="004B5726" w:rsidRDefault="00194F50" w:rsidP="00B318AC">
            <w:pPr>
              <w:jc w:val="center"/>
              <w:rPr>
                <w:sz w:val="28"/>
              </w:rPr>
            </w:pPr>
            <w:r w:rsidRPr="004B5726">
              <w:rPr>
                <w:sz w:val="28"/>
              </w:rPr>
              <w:t xml:space="preserve">от </w:t>
            </w:r>
            <w:r w:rsidR="00B318AC">
              <w:rPr>
                <w:sz w:val="28"/>
              </w:rPr>
              <w:t>24</w:t>
            </w:r>
            <w:r w:rsidR="002A0BCD" w:rsidRPr="004B5726">
              <w:rPr>
                <w:sz w:val="28"/>
              </w:rPr>
              <w:t>.</w:t>
            </w:r>
            <w:r w:rsidR="00872033" w:rsidRPr="004B5726">
              <w:rPr>
                <w:sz w:val="28"/>
              </w:rPr>
              <w:t>06.</w:t>
            </w:r>
            <w:r w:rsidRPr="004B5726">
              <w:rPr>
                <w:sz w:val="28"/>
              </w:rPr>
              <w:t>202</w:t>
            </w:r>
            <w:r w:rsidR="00872033" w:rsidRPr="004B5726">
              <w:rPr>
                <w:sz w:val="28"/>
              </w:rPr>
              <w:t>1</w:t>
            </w:r>
            <w:r w:rsidRPr="004B5726">
              <w:rPr>
                <w:sz w:val="28"/>
              </w:rPr>
              <w:t xml:space="preserve"> № </w:t>
            </w:r>
            <w:r w:rsidR="00B318AC">
              <w:rPr>
                <w:sz w:val="28"/>
              </w:rPr>
              <w:t>162</w:t>
            </w:r>
            <w:r w:rsidRPr="004B5726">
              <w:rPr>
                <w:sz w:val="28"/>
              </w:rPr>
              <w:t>-па</w:t>
            </w:r>
          </w:p>
        </w:tc>
      </w:tr>
    </w:tbl>
    <w:p w:rsidR="00194F50" w:rsidRDefault="00194F50" w:rsidP="00194F50">
      <w:pPr>
        <w:rPr>
          <w:sz w:val="28"/>
          <w:szCs w:val="28"/>
        </w:rPr>
      </w:pPr>
    </w:p>
    <w:p w:rsidR="00B318AC" w:rsidRDefault="00B318AC" w:rsidP="00194F50">
      <w:pPr>
        <w:rPr>
          <w:sz w:val="28"/>
          <w:szCs w:val="28"/>
        </w:rPr>
      </w:pPr>
    </w:p>
    <w:p w:rsidR="00B318AC" w:rsidRDefault="00B318AC" w:rsidP="00194F50">
      <w:pPr>
        <w:rPr>
          <w:sz w:val="28"/>
          <w:szCs w:val="28"/>
        </w:rPr>
      </w:pPr>
    </w:p>
    <w:p w:rsidR="00194F50" w:rsidRDefault="00194F50" w:rsidP="00194F5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CE6F80">
        <w:rPr>
          <w:sz w:val="28"/>
          <w:szCs w:val="28"/>
        </w:rPr>
        <w:t xml:space="preserve"> мероприятий («</w:t>
      </w:r>
      <w:r>
        <w:rPr>
          <w:sz w:val="28"/>
          <w:szCs w:val="28"/>
        </w:rPr>
        <w:t>дорожная карта</w:t>
      </w:r>
      <w:r w:rsidRPr="00CE6F80">
        <w:rPr>
          <w:sz w:val="28"/>
          <w:szCs w:val="28"/>
        </w:rPr>
        <w:t>»)</w:t>
      </w:r>
    </w:p>
    <w:p w:rsidR="00DD500D" w:rsidRDefault="00194F50" w:rsidP="00194F50">
      <w:pPr>
        <w:jc w:val="center"/>
        <w:rPr>
          <w:sz w:val="28"/>
          <w:szCs w:val="28"/>
        </w:rPr>
      </w:pPr>
      <w:r w:rsidRPr="00CE6F80">
        <w:rPr>
          <w:sz w:val="28"/>
          <w:szCs w:val="28"/>
        </w:rPr>
        <w:t>по заключению муниципальных контрактов на организацию пассажирских перевозок</w:t>
      </w:r>
    </w:p>
    <w:p w:rsidR="00DD500D" w:rsidRDefault="00194F50" w:rsidP="00194F50">
      <w:pPr>
        <w:jc w:val="center"/>
        <w:rPr>
          <w:sz w:val="28"/>
          <w:szCs w:val="28"/>
        </w:rPr>
      </w:pPr>
      <w:r w:rsidRPr="00CE6F80">
        <w:rPr>
          <w:sz w:val="28"/>
          <w:szCs w:val="28"/>
        </w:rPr>
        <w:t xml:space="preserve"> на муниципальной маршрутной сети Здвинского района</w:t>
      </w:r>
      <w:r w:rsidR="00DD500D">
        <w:rPr>
          <w:sz w:val="28"/>
          <w:szCs w:val="28"/>
        </w:rPr>
        <w:t xml:space="preserve"> Новосибирской области</w:t>
      </w:r>
    </w:p>
    <w:p w:rsidR="00DD500D" w:rsidRDefault="00194F50" w:rsidP="00DD500D">
      <w:pPr>
        <w:jc w:val="center"/>
        <w:rPr>
          <w:sz w:val="28"/>
          <w:szCs w:val="28"/>
        </w:rPr>
      </w:pPr>
      <w:r w:rsidRPr="00CE6F80">
        <w:rPr>
          <w:sz w:val="28"/>
          <w:szCs w:val="28"/>
        </w:rPr>
        <w:t xml:space="preserve">в соответствии с графиком, предусмотренным Документом планирования </w:t>
      </w:r>
      <w:r w:rsidR="00DD500D" w:rsidRPr="00DD500D">
        <w:rPr>
          <w:sz w:val="28"/>
          <w:szCs w:val="28"/>
        </w:rPr>
        <w:t>регулярных перевозок</w:t>
      </w:r>
    </w:p>
    <w:p w:rsidR="00DD500D" w:rsidRDefault="00DD500D" w:rsidP="00DD500D">
      <w:pPr>
        <w:jc w:val="center"/>
        <w:rPr>
          <w:sz w:val="28"/>
          <w:szCs w:val="28"/>
        </w:rPr>
      </w:pPr>
      <w:r w:rsidRPr="00DD500D">
        <w:rPr>
          <w:sz w:val="28"/>
          <w:szCs w:val="28"/>
        </w:rPr>
        <w:t xml:space="preserve"> пассажиров и багажа автомобильным транспортом по муниципальным маршрутам</w:t>
      </w:r>
    </w:p>
    <w:p w:rsidR="00194F50" w:rsidRDefault="00DD500D" w:rsidP="00B318AC">
      <w:pPr>
        <w:jc w:val="center"/>
        <w:rPr>
          <w:sz w:val="28"/>
          <w:szCs w:val="28"/>
        </w:rPr>
      </w:pPr>
      <w:r w:rsidRPr="00DD500D">
        <w:rPr>
          <w:sz w:val="28"/>
          <w:szCs w:val="28"/>
        </w:rPr>
        <w:t>регулярных перевозок на территории Здвинского района Новосибирской области на 2020-2022 годы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0"/>
        <w:gridCol w:w="5549"/>
        <w:gridCol w:w="880"/>
        <w:gridCol w:w="3089"/>
        <w:gridCol w:w="1979"/>
        <w:gridCol w:w="3059"/>
      </w:tblGrid>
      <w:tr w:rsidR="00DD500D" w:rsidTr="002E1866">
        <w:tc>
          <w:tcPr>
            <w:tcW w:w="1080" w:type="dxa"/>
            <w:vAlign w:val="center"/>
          </w:tcPr>
          <w:p w:rsidR="00DD500D" w:rsidRPr="006B369F" w:rsidRDefault="00DD500D" w:rsidP="00AE7193">
            <w:pPr>
              <w:jc w:val="center"/>
            </w:pPr>
            <w:r w:rsidRPr="006B369F">
              <w:t xml:space="preserve">№ </w:t>
            </w:r>
            <w:proofErr w:type="spellStart"/>
            <w:r w:rsidRPr="006B369F">
              <w:t>пп</w:t>
            </w:r>
            <w:proofErr w:type="spellEnd"/>
          </w:p>
        </w:tc>
        <w:tc>
          <w:tcPr>
            <w:tcW w:w="6429" w:type="dxa"/>
            <w:gridSpan w:val="2"/>
            <w:vAlign w:val="center"/>
          </w:tcPr>
          <w:p w:rsidR="00DD500D" w:rsidRPr="006B369F" w:rsidRDefault="00DD500D" w:rsidP="00AE7193">
            <w:pPr>
              <w:jc w:val="center"/>
            </w:pPr>
            <w:r w:rsidRPr="006B369F">
              <w:t>Наименование мероприятия</w:t>
            </w:r>
          </w:p>
        </w:tc>
        <w:tc>
          <w:tcPr>
            <w:tcW w:w="3089" w:type="dxa"/>
          </w:tcPr>
          <w:p w:rsidR="00DD500D" w:rsidRPr="006B369F" w:rsidRDefault="00DD500D" w:rsidP="00AE7193">
            <w:pPr>
              <w:jc w:val="center"/>
            </w:pPr>
            <w:r w:rsidRPr="006B369F">
              <w:t>Срок</w:t>
            </w:r>
            <w:r>
              <w:t xml:space="preserve"> исполнения</w:t>
            </w:r>
          </w:p>
        </w:tc>
        <w:tc>
          <w:tcPr>
            <w:tcW w:w="1979" w:type="dxa"/>
          </w:tcPr>
          <w:p w:rsidR="00DD500D" w:rsidRPr="006B369F" w:rsidRDefault="00DD500D" w:rsidP="00AE7193">
            <w:pPr>
              <w:jc w:val="center"/>
            </w:pPr>
            <w:r w:rsidRPr="006B369F">
              <w:t>Документация</w:t>
            </w:r>
          </w:p>
        </w:tc>
        <w:tc>
          <w:tcPr>
            <w:tcW w:w="3059" w:type="dxa"/>
          </w:tcPr>
          <w:p w:rsidR="00DD500D" w:rsidRPr="006B369F" w:rsidRDefault="00DD500D" w:rsidP="00AE7193">
            <w:pPr>
              <w:jc w:val="center"/>
            </w:pPr>
            <w:r w:rsidRPr="006B369F">
              <w:t>Нормативный правовой акт</w:t>
            </w:r>
          </w:p>
        </w:tc>
      </w:tr>
      <w:tr w:rsidR="00DD500D" w:rsidTr="002E1866">
        <w:tc>
          <w:tcPr>
            <w:tcW w:w="1080" w:type="dxa"/>
            <w:vAlign w:val="center"/>
          </w:tcPr>
          <w:p w:rsidR="00DD500D" w:rsidRPr="006B369F" w:rsidRDefault="00DD500D" w:rsidP="00AE7193">
            <w:pPr>
              <w:jc w:val="center"/>
            </w:pPr>
            <w:r w:rsidRPr="006B369F">
              <w:t>1</w:t>
            </w:r>
          </w:p>
        </w:tc>
        <w:tc>
          <w:tcPr>
            <w:tcW w:w="6429" w:type="dxa"/>
            <w:gridSpan w:val="2"/>
            <w:vAlign w:val="center"/>
          </w:tcPr>
          <w:p w:rsidR="00DD500D" w:rsidRPr="006B369F" w:rsidRDefault="00DD500D" w:rsidP="00AE7193">
            <w:pPr>
              <w:jc w:val="center"/>
            </w:pPr>
            <w:r w:rsidRPr="006B369F">
              <w:t>2</w:t>
            </w:r>
          </w:p>
        </w:tc>
        <w:tc>
          <w:tcPr>
            <w:tcW w:w="3089" w:type="dxa"/>
          </w:tcPr>
          <w:p w:rsidR="00DD500D" w:rsidRPr="006B369F" w:rsidRDefault="00DD500D" w:rsidP="00AE7193">
            <w:pPr>
              <w:jc w:val="center"/>
            </w:pPr>
            <w:r w:rsidRPr="006B369F">
              <w:t>3</w:t>
            </w:r>
          </w:p>
        </w:tc>
        <w:tc>
          <w:tcPr>
            <w:tcW w:w="1979" w:type="dxa"/>
          </w:tcPr>
          <w:p w:rsidR="00DD500D" w:rsidRPr="006B369F" w:rsidRDefault="00DD500D" w:rsidP="00AE7193">
            <w:pPr>
              <w:jc w:val="center"/>
            </w:pPr>
            <w:r w:rsidRPr="006B369F">
              <w:t>4</w:t>
            </w:r>
          </w:p>
        </w:tc>
        <w:tc>
          <w:tcPr>
            <w:tcW w:w="3059" w:type="dxa"/>
          </w:tcPr>
          <w:p w:rsidR="00DD500D" w:rsidRPr="006B369F" w:rsidRDefault="00DD500D" w:rsidP="00AE7193">
            <w:pPr>
              <w:jc w:val="center"/>
            </w:pPr>
            <w:r w:rsidRPr="006B369F">
              <w:t>5</w:t>
            </w:r>
          </w:p>
        </w:tc>
      </w:tr>
      <w:tr w:rsidR="001D408B" w:rsidTr="00CB29EA">
        <w:tc>
          <w:tcPr>
            <w:tcW w:w="15636" w:type="dxa"/>
            <w:gridSpan w:val="6"/>
          </w:tcPr>
          <w:p w:rsidR="001D408B" w:rsidRDefault="001D408B" w:rsidP="00C87124">
            <w:pPr>
              <w:jc w:val="center"/>
            </w:pPr>
            <w:r w:rsidRPr="006B369F">
              <w:rPr>
                <w:lang w:val="en-US"/>
              </w:rPr>
              <w:t>I</w:t>
            </w:r>
            <w:r w:rsidRPr="006B369F">
              <w:t>. Подготовительные мероприятия к заключению муниципального контракта в общем порядке</w:t>
            </w:r>
          </w:p>
        </w:tc>
      </w:tr>
      <w:tr w:rsidR="001D408B" w:rsidTr="002E1866">
        <w:tc>
          <w:tcPr>
            <w:tcW w:w="1080" w:type="dxa"/>
          </w:tcPr>
          <w:p w:rsidR="001D408B" w:rsidRPr="006B369F" w:rsidRDefault="001D408B" w:rsidP="00A66E62">
            <w:pPr>
              <w:jc w:val="center"/>
            </w:pPr>
            <w:r w:rsidRPr="006B369F">
              <w:t>1.</w:t>
            </w:r>
          </w:p>
        </w:tc>
        <w:tc>
          <w:tcPr>
            <w:tcW w:w="6429" w:type="dxa"/>
            <w:gridSpan w:val="2"/>
          </w:tcPr>
          <w:p w:rsidR="001D408B" w:rsidRPr="006B369F" w:rsidRDefault="001D408B" w:rsidP="00A66E62">
            <w:pPr>
              <w:jc w:val="both"/>
            </w:pPr>
            <w:r w:rsidRPr="006B369F">
              <w:t>Реализация мероприятий по обеспечению доступности услуг общественного пассажирского транспорта, формированию маршрутной сети регулярных перевозок, развитию транспортной инфраструктуры и повышению эффективности системы управления и контроля за осуществлением регулярных перевозок</w:t>
            </w:r>
          </w:p>
        </w:tc>
        <w:tc>
          <w:tcPr>
            <w:tcW w:w="3089" w:type="dxa"/>
          </w:tcPr>
          <w:p w:rsidR="001D408B" w:rsidRPr="006B369F" w:rsidRDefault="00E76166" w:rsidP="00A66E62">
            <w:pPr>
              <w:jc w:val="center"/>
            </w:pPr>
            <w:r>
              <w:t>до 01 июля ежегодно</w:t>
            </w:r>
          </w:p>
        </w:tc>
        <w:tc>
          <w:tcPr>
            <w:tcW w:w="1979" w:type="dxa"/>
          </w:tcPr>
          <w:p w:rsidR="001D408B" w:rsidRDefault="001D408B" w:rsidP="00C87124">
            <w:pPr>
              <w:jc w:val="center"/>
            </w:pPr>
          </w:p>
        </w:tc>
        <w:tc>
          <w:tcPr>
            <w:tcW w:w="3059" w:type="dxa"/>
          </w:tcPr>
          <w:p w:rsidR="001D408B" w:rsidRDefault="001D408B" w:rsidP="00C87124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1.1.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Изучение потребностей населения в пассажирских перевозках по муниципальным маршрутам регулярных перевозок на территории Здвинского района Новосибирской области, ана</w:t>
            </w:r>
            <w:r>
              <w:t xml:space="preserve">лиз сложившейся маршрутной сети </w:t>
            </w:r>
            <w:r w:rsidRPr="006B369F">
              <w:t>и предполагаемых (прогнозируемых) пассажиропотоков и подготовка предложений по оптимизации маршрутной сети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E44E86">
              <w:t>до 01 июля ежегодно</w:t>
            </w:r>
          </w:p>
        </w:tc>
        <w:tc>
          <w:tcPr>
            <w:tcW w:w="1979" w:type="dxa"/>
          </w:tcPr>
          <w:p w:rsidR="00E76166" w:rsidRDefault="00E76166" w:rsidP="00C87124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C87124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1.2.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 xml:space="preserve">Анализ использования вместимости транспортных средств и подготовка предложений по изменению класса и </w:t>
            </w:r>
            <w:r w:rsidRPr="006B369F">
              <w:lastRenderedPageBreak/>
              <w:t>количества подвижного состава по каждому муниципальному маршруту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E44E86">
              <w:lastRenderedPageBreak/>
              <w:t>до 01 июля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lastRenderedPageBreak/>
              <w:t>1.3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Подготовка предложений по установлению, изменению, отмене муниципальных маршрутов регулярных перевозок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E44E86">
              <w:t>до 01 июля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1D408B" w:rsidTr="002E1866">
        <w:tc>
          <w:tcPr>
            <w:tcW w:w="1080" w:type="dxa"/>
          </w:tcPr>
          <w:p w:rsidR="001D408B" w:rsidRPr="006B369F" w:rsidRDefault="001D408B" w:rsidP="00A66E62">
            <w:pPr>
              <w:jc w:val="center"/>
            </w:pPr>
            <w:r w:rsidRPr="006B369F">
              <w:t>1.4</w:t>
            </w:r>
          </w:p>
        </w:tc>
        <w:tc>
          <w:tcPr>
            <w:tcW w:w="6429" w:type="dxa"/>
            <w:gridSpan w:val="2"/>
          </w:tcPr>
          <w:p w:rsidR="001D408B" w:rsidRPr="006B369F" w:rsidRDefault="001D408B" w:rsidP="00A66E62">
            <w:pPr>
              <w:jc w:val="both"/>
            </w:pPr>
            <w:r w:rsidRPr="006B369F">
              <w:t>Внесение изменений в Реестр муниципальных маршрутов регулярных перевозок на территории Здвинского района Новосибирской области (далее Реестр)</w:t>
            </w:r>
          </w:p>
        </w:tc>
        <w:tc>
          <w:tcPr>
            <w:tcW w:w="3089" w:type="dxa"/>
          </w:tcPr>
          <w:p w:rsidR="001D408B" w:rsidRPr="006B369F" w:rsidRDefault="00E76166" w:rsidP="00E76166">
            <w:pPr>
              <w:jc w:val="center"/>
            </w:pPr>
            <w:r>
              <w:t>до 01 августа ежегодно</w:t>
            </w:r>
          </w:p>
        </w:tc>
        <w:tc>
          <w:tcPr>
            <w:tcW w:w="1979" w:type="dxa"/>
          </w:tcPr>
          <w:p w:rsidR="001D408B" w:rsidRPr="006B369F" w:rsidRDefault="001D408B" w:rsidP="00523745">
            <w:pPr>
              <w:jc w:val="both"/>
            </w:pPr>
            <w:r>
              <w:t xml:space="preserve">Внесение изменений в постановление администрации Здвинского района Новосибирской области </w:t>
            </w:r>
          </w:p>
        </w:tc>
        <w:tc>
          <w:tcPr>
            <w:tcW w:w="3059" w:type="dxa"/>
          </w:tcPr>
          <w:p w:rsidR="001D408B" w:rsidRPr="006B369F" w:rsidRDefault="0078138C" w:rsidP="00523745">
            <w:pPr>
              <w:autoSpaceDE w:val="0"/>
              <w:autoSpaceDN w:val="0"/>
              <w:adjustRightInd w:val="0"/>
              <w:jc w:val="both"/>
            </w:pPr>
            <w:r w:rsidRPr="0078138C">
              <w:t>Постановление администрации Здвинского района Новосибирской области от 30.12.2019 года №412-па «Об утверждении реестра муниципальных маршрутов регулярных перевозок на территории Здвинского района Новосибирской области»</w:t>
            </w:r>
          </w:p>
        </w:tc>
      </w:tr>
      <w:tr w:rsidR="001D408B" w:rsidTr="002E1866">
        <w:tc>
          <w:tcPr>
            <w:tcW w:w="1080" w:type="dxa"/>
          </w:tcPr>
          <w:p w:rsidR="001D408B" w:rsidRPr="006B369F" w:rsidRDefault="001D408B" w:rsidP="00A66E62">
            <w:pPr>
              <w:jc w:val="center"/>
            </w:pPr>
            <w:r w:rsidRPr="006B369F">
              <w:t>2.</w:t>
            </w:r>
          </w:p>
        </w:tc>
        <w:tc>
          <w:tcPr>
            <w:tcW w:w="6429" w:type="dxa"/>
            <w:gridSpan w:val="2"/>
          </w:tcPr>
          <w:p w:rsidR="001D408B" w:rsidRPr="006B369F" w:rsidRDefault="001D408B" w:rsidP="00A66E62">
            <w:pPr>
              <w:jc w:val="both"/>
            </w:pPr>
            <w:r w:rsidRPr="006B369F">
              <w:t>Формирование технологической документации для проведения закупки на осуществление регулярных перевозок по регулируемым тарифам:</w:t>
            </w:r>
          </w:p>
        </w:tc>
        <w:tc>
          <w:tcPr>
            <w:tcW w:w="3089" w:type="dxa"/>
          </w:tcPr>
          <w:p w:rsidR="001D408B" w:rsidRPr="006B369F" w:rsidRDefault="00E76166" w:rsidP="00E76166">
            <w:pPr>
              <w:jc w:val="center"/>
            </w:pPr>
            <w:r>
              <w:t>до 31 декабря ежегодно</w:t>
            </w:r>
          </w:p>
        </w:tc>
        <w:tc>
          <w:tcPr>
            <w:tcW w:w="1979" w:type="dxa"/>
            <w:vMerge w:val="restart"/>
          </w:tcPr>
          <w:p w:rsidR="001D408B" w:rsidRDefault="001D408B" w:rsidP="00DD500D">
            <w:pPr>
              <w:jc w:val="center"/>
            </w:pPr>
          </w:p>
        </w:tc>
        <w:tc>
          <w:tcPr>
            <w:tcW w:w="3059" w:type="dxa"/>
            <w:vMerge w:val="restart"/>
          </w:tcPr>
          <w:p w:rsidR="001D408B" w:rsidRDefault="001D408B" w:rsidP="00DD500D">
            <w:pPr>
              <w:jc w:val="center"/>
            </w:pP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 w:rsidRPr="006B369F">
              <w:t>2.1</w:t>
            </w:r>
          </w:p>
        </w:tc>
        <w:tc>
          <w:tcPr>
            <w:tcW w:w="6429" w:type="dxa"/>
            <w:gridSpan w:val="2"/>
          </w:tcPr>
          <w:p w:rsidR="0078138C" w:rsidRPr="006B369F" w:rsidRDefault="0078138C" w:rsidP="00A66E62">
            <w:pPr>
              <w:jc w:val="both"/>
            </w:pPr>
            <w:r w:rsidRPr="006B369F">
              <w:t>Определение наименования объекта закупки.</w:t>
            </w:r>
          </w:p>
        </w:tc>
        <w:tc>
          <w:tcPr>
            <w:tcW w:w="3089" w:type="dxa"/>
          </w:tcPr>
          <w:p w:rsidR="0078138C" w:rsidRPr="006B369F" w:rsidRDefault="00E76166" w:rsidP="00E76166">
            <w:pPr>
              <w:jc w:val="center"/>
            </w:pPr>
            <w:r>
              <w:t>до 01 ноября ежегодно</w:t>
            </w:r>
          </w:p>
        </w:tc>
        <w:tc>
          <w:tcPr>
            <w:tcW w:w="1979" w:type="dxa"/>
            <w:vMerge/>
          </w:tcPr>
          <w:p w:rsidR="0078138C" w:rsidRDefault="0078138C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78138C" w:rsidRDefault="0078138C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r w:rsidRPr="006B369F">
              <w:t>2.2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единиц измерения объемов работ.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r w:rsidRPr="006B369F">
              <w:t>2.3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Формирование лотов.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2.4.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характеристики объекта закупки.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2.4.1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перечня документов, подлежащих применению подрядчиком при выполнении работ.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2.4.2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характеристики объектов закупки в соответствии с Реестром, а также периодичности выполнения работ.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2.4.3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перечня требований к транспортным средствам при выполнении работ.</w:t>
            </w:r>
          </w:p>
          <w:p w:rsidR="00E76166" w:rsidRPr="006B369F" w:rsidRDefault="00E76166" w:rsidP="00A66E62">
            <w:pPr>
              <w:jc w:val="both"/>
            </w:pPr>
            <w:r w:rsidRPr="006B369F">
              <w:t>Определение перечня требований к работе, а также к условиям выполнения работы.</w:t>
            </w:r>
          </w:p>
          <w:p w:rsidR="00E76166" w:rsidRPr="006B369F" w:rsidRDefault="00E76166" w:rsidP="00A66E62">
            <w:pPr>
              <w:jc w:val="both"/>
            </w:pPr>
            <w:r w:rsidRPr="006B369F">
              <w:t>Проведение исследования рынка путем изучения общедоступных источников информации в целях выявления имеющихся на рынке работ, отвечающим установленным требованиям.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lastRenderedPageBreak/>
              <w:t>2.4.4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объема работ.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2.4.5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начальной (максимальной) цены контракта, заключаемого с поставщиком (в том числе с единственным).</w:t>
            </w:r>
          </w:p>
          <w:p w:rsidR="00E76166" w:rsidRPr="006B369F" w:rsidRDefault="00E76166" w:rsidP="00A66E62">
            <w:pPr>
              <w:jc w:val="both"/>
            </w:pPr>
            <w:r w:rsidRPr="006B369F">
              <w:t>Осуществление сбора и анализа информации на основании запросов от организаций:</w:t>
            </w:r>
          </w:p>
          <w:p w:rsidR="00E76166" w:rsidRPr="006B369F" w:rsidRDefault="00E76166" w:rsidP="00A66E62">
            <w:pPr>
              <w:jc w:val="both"/>
            </w:pPr>
            <w:r w:rsidRPr="006B369F">
              <w:t>-  уполномоченных на выполнение функции сбора платы за поезд пассажиров и провоз багажа;</w:t>
            </w:r>
          </w:p>
          <w:p w:rsidR="00E76166" w:rsidRPr="006B369F" w:rsidRDefault="00E76166" w:rsidP="00A66E62">
            <w:pPr>
              <w:jc w:val="both"/>
            </w:pPr>
            <w:r w:rsidRPr="006B369F">
              <w:t>- осуществляющей функции по эксплуатации безналичной системы оплаты проезда;</w:t>
            </w:r>
          </w:p>
          <w:p w:rsidR="00E76166" w:rsidRPr="006B369F" w:rsidRDefault="00E76166" w:rsidP="00A66E62">
            <w:pPr>
              <w:jc w:val="both"/>
            </w:pPr>
            <w:r w:rsidRPr="006B369F">
              <w:t>- территориальных органов Федеральной службы государственной статистики;</w:t>
            </w:r>
          </w:p>
          <w:p w:rsidR="00E76166" w:rsidRPr="006B369F" w:rsidRDefault="00E76166" w:rsidP="00A66E62">
            <w:pPr>
              <w:jc w:val="both"/>
            </w:pPr>
            <w:r w:rsidRPr="006B369F">
              <w:t>- предприятия, осуществляющего регулярные перевозки пассажиров и багажа на внутрирайонных автобусных маршрутах;</w:t>
            </w:r>
          </w:p>
          <w:p w:rsidR="00E76166" w:rsidRPr="006B369F" w:rsidRDefault="00E76166" w:rsidP="00A66E62">
            <w:pPr>
              <w:jc w:val="both"/>
            </w:pPr>
            <w:r w:rsidRPr="006B369F">
              <w:t>- органа исполнительной власти субъекта Российской Федерации, уполномоченного на осуществление полномочий по регулированию тарифов на перевозки пассажиров и багажа автомобильным транспортом.</w:t>
            </w:r>
          </w:p>
          <w:p w:rsidR="00E76166" w:rsidRPr="006B369F" w:rsidRDefault="00E76166" w:rsidP="00A66E62">
            <w:pPr>
              <w:jc w:val="both"/>
            </w:pPr>
            <w:r w:rsidRPr="006B369F">
              <w:t>Согласование с уполномоченным органом исполнительной власти субъекта Российской Федерации планируемого объема субсидии подрядчику в целях компенсации недополученных доходов от предоставления льгот на проезд пассажиров или части затрат на выполнение предусмотренным контрактом работ.</w:t>
            </w:r>
          </w:p>
          <w:p w:rsidR="00E76166" w:rsidRPr="006B369F" w:rsidRDefault="00E76166" w:rsidP="00A66E62">
            <w:pPr>
              <w:jc w:val="both"/>
            </w:pPr>
            <w:r w:rsidRPr="006B369F">
              <w:t>Расчет начальной (максимальной) цены контракта, заключаемого с поставщиком (в том числе с единственным).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464987">
              <w:t>до 01 ноября ежегодно</w:t>
            </w:r>
          </w:p>
        </w:tc>
        <w:tc>
          <w:tcPr>
            <w:tcW w:w="1979" w:type="dxa"/>
            <w:vMerge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  <w:vMerge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3.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Проработка особенностей заключаемого контракта и условий его исполнения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A3378C">
              <w:t>до 01 ноября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3.1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порядка оплаты.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A3378C">
              <w:t>до 01 ноября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3.2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прав и обязанностей сторон.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A3378C">
              <w:t>до 01 ноября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3.3.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Определение ответственности перевозчика.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A3378C">
              <w:t>до 01 ноября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t>3.4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 xml:space="preserve">Определение случаев и порядка изменения условий </w:t>
            </w:r>
            <w:r w:rsidRPr="006B369F">
              <w:lastRenderedPageBreak/>
              <w:t>контракта.</w:t>
            </w: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A3378C">
              <w:lastRenderedPageBreak/>
              <w:t>до 01 ноября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E76166" w:rsidTr="002E1866">
        <w:tc>
          <w:tcPr>
            <w:tcW w:w="1080" w:type="dxa"/>
          </w:tcPr>
          <w:p w:rsidR="00E76166" w:rsidRPr="006B369F" w:rsidRDefault="00E76166" w:rsidP="00A66E62">
            <w:pPr>
              <w:jc w:val="center"/>
            </w:pPr>
            <w:r w:rsidRPr="006B369F">
              <w:lastRenderedPageBreak/>
              <w:t>4.</w:t>
            </w:r>
          </w:p>
        </w:tc>
        <w:tc>
          <w:tcPr>
            <w:tcW w:w="6429" w:type="dxa"/>
            <w:gridSpan w:val="2"/>
          </w:tcPr>
          <w:p w:rsidR="00E76166" w:rsidRPr="006B369F" w:rsidRDefault="00E76166" w:rsidP="00A66E62">
            <w:pPr>
              <w:jc w:val="both"/>
            </w:pPr>
            <w:r w:rsidRPr="006B369F">
              <w:t>Разработка и утверждение конкурсной документации с учетом полученной информации и опубликование извещения.</w:t>
            </w:r>
          </w:p>
          <w:p w:rsidR="00E76166" w:rsidRPr="006B369F" w:rsidRDefault="00E76166" w:rsidP="00A66E62">
            <w:pPr>
              <w:autoSpaceDE w:val="0"/>
              <w:autoSpaceDN w:val="0"/>
              <w:adjustRightInd w:val="0"/>
              <w:jc w:val="both"/>
            </w:pPr>
            <w:r w:rsidRPr="006B369F">
              <w:t xml:space="preserve">Требования к конкурсной документации на право заключения муниципального контракта установлены в ст.54.3 </w:t>
            </w:r>
            <w:r>
              <w:t>44-ФЗ</w:t>
            </w:r>
            <w:r w:rsidRPr="006B369F">
              <w:t xml:space="preserve">. </w:t>
            </w:r>
          </w:p>
          <w:p w:rsidR="00E76166" w:rsidRPr="006B369F" w:rsidRDefault="00E76166" w:rsidP="00A66E62">
            <w:pPr>
              <w:jc w:val="both"/>
            </w:pPr>
          </w:p>
        </w:tc>
        <w:tc>
          <w:tcPr>
            <w:tcW w:w="3089" w:type="dxa"/>
          </w:tcPr>
          <w:p w:rsidR="00E76166" w:rsidRDefault="00E76166" w:rsidP="00E76166">
            <w:pPr>
              <w:jc w:val="center"/>
            </w:pPr>
            <w:r w:rsidRPr="00A3378C">
              <w:t>до 01 ноября ежегодно</w:t>
            </w:r>
          </w:p>
        </w:tc>
        <w:tc>
          <w:tcPr>
            <w:tcW w:w="1979" w:type="dxa"/>
          </w:tcPr>
          <w:p w:rsidR="00E76166" w:rsidRDefault="00E76166" w:rsidP="00DD500D">
            <w:pPr>
              <w:jc w:val="center"/>
            </w:pPr>
          </w:p>
        </w:tc>
        <w:tc>
          <w:tcPr>
            <w:tcW w:w="3059" w:type="dxa"/>
          </w:tcPr>
          <w:p w:rsidR="00E76166" w:rsidRDefault="00E76166" w:rsidP="00DD500D">
            <w:pPr>
              <w:jc w:val="center"/>
            </w:pPr>
          </w:p>
        </w:tc>
      </w:tr>
      <w:tr w:rsidR="0078138C" w:rsidTr="00F906A5">
        <w:tc>
          <w:tcPr>
            <w:tcW w:w="15636" w:type="dxa"/>
            <w:gridSpan w:val="6"/>
          </w:tcPr>
          <w:p w:rsidR="0078138C" w:rsidRDefault="0078138C" w:rsidP="00DD500D">
            <w:pPr>
              <w:jc w:val="center"/>
            </w:pPr>
            <w:r w:rsidRPr="006B369F">
              <w:t>II. Проведение открытого конкурса в электронной форме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 w:rsidRPr="006B369F">
              <w:t>5.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Подача заявок на участие в конкурсе</w:t>
            </w:r>
          </w:p>
        </w:tc>
        <w:tc>
          <w:tcPr>
            <w:tcW w:w="3969" w:type="dxa"/>
            <w:gridSpan w:val="2"/>
          </w:tcPr>
          <w:p w:rsidR="0078138C" w:rsidRDefault="0078138C" w:rsidP="00523745">
            <w:pPr>
              <w:jc w:val="both"/>
            </w:pPr>
            <w:r>
              <w:t>С 01. 11. 2020</w:t>
            </w:r>
            <w:r w:rsidR="002A0BCD">
              <w:t>года</w:t>
            </w:r>
            <w:r w:rsidR="00E76166">
              <w:t xml:space="preserve"> (на 2021 год);</w:t>
            </w:r>
          </w:p>
          <w:p w:rsidR="00E76166" w:rsidRPr="006B369F" w:rsidRDefault="00E76166" w:rsidP="00523745">
            <w:pPr>
              <w:jc w:val="both"/>
            </w:pPr>
            <w:r>
              <w:t>с 01.11.2021 года (на 2022 год);</w:t>
            </w:r>
          </w:p>
          <w:p w:rsidR="0078138C" w:rsidRPr="006B369F" w:rsidRDefault="0078138C" w:rsidP="00523745">
            <w:pPr>
              <w:jc w:val="both"/>
            </w:pPr>
            <w:r w:rsidRPr="006B369F">
              <w:t xml:space="preserve">не менее чем пятнадцать рабочих дней 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54.2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 w:rsidRPr="006B369F">
              <w:t>6.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Рассмотрение и оценка первых частей заявок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>
              <w:t>Н</w:t>
            </w:r>
            <w:r w:rsidRPr="006B369F">
              <w:t>е может превышать пять рабочих дней, а в случае, если начальная (максимальная) цена контракта не превышает один миллион рублей, один рабочий день с даты окончания срока подачи указанных заявок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54.5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7.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Публикация протокола первых частей в ЕИС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>
              <w:t>Н</w:t>
            </w:r>
            <w:r w:rsidRPr="006B369F">
              <w:t>е позднее даты окончания срока рассмотрения и оценки первых частей заявок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54.5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8.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Подача окончательных предложений о цене контракта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>
              <w:t>Р</w:t>
            </w:r>
            <w:r w:rsidRPr="006B369F">
              <w:t>абочий день, следующий после истечения одного рабочего дня с даты окончания срока рассмотрения и оценки первых частей заявок на участие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54.644-ФЗ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9.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Рассмотрение и оценка вторых частей заявок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>
              <w:t>Н</w:t>
            </w:r>
            <w:r w:rsidRPr="006B369F">
              <w:t xml:space="preserve">е может превышать три рабочих дня, а в случае, если начальная (максимальная) цена контракта не превышает один миллион рублей, указанный срок не может превышать один рабочий день с </w:t>
            </w:r>
            <w:r w:rsidRPr="006B369F">
              <w:lastRenderedPageBreak/>
              <w:t>даты направления заказчику вторых частей заявок на участие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54.7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Публикация протокола вторых частей в ЕИС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>
              <w:t>Н</w:t>
            </w:r>
            <w:r w:rsidRPr="006B369F">
              <w:t>е позднее даты окончания срока рассмотрения и оценки вторых частей заявок на участие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54.7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11.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Протокол подведения итогов открытого конкурса в электронной форме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 w:rsidRPr="006B369F">
              <w:t>Не позднее следующего рабочего дня после дня получения от оператора электронной площадки протокола подачи окончательных предложений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54.7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12.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Размещение проекта контракта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 w:rsidRPr="006B369F">
              <w:t>В течение пяти дней с даты размещения в единой информационной системе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83.2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13.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 xml:space="preserve">Подписание в единой информационной системе проекта контракта победителем 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 w:rsidRPr="006B369F">
              <w:t>В течение пяти дней с даты размещения заказчиком в единой информационной системе проекта контракта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83.2 44-ФЗ</w:t>
            </w:r>
          </w:p>
        </w:tc>
      </w:tr>
      <w:tr w:rsidR="0078138C" w:rsidTr="002E1866">
        <w:tc>
          <w:tcPr>
            <w:tcW w:w="1080" w:type="dxa"/>
          </w:tcPr>
          <w:p w:rsidR="0078138C" w:rsidRPr="006B369F" w:rsidRDefault="0078138C" w:rsidP="00A66E62">
            <w:pPr>
              <w:jc w:val="center"/>
            </w:pPr>
            <w:r>
              <w:t>14.</w:t>
            </w:r>
          </w:p>
        </w:tc>
        <w:tc>
          <w:tcPr>
            <w:tcW w:w="5549" w:type="dxa"/>
          </w:tcPr>
          <w:p w:rsidR="0078138C" w:rsidRPr="006B369F" w:rsidRDefault="0078138C" w:rsidP="00A66E62">
            <w:pPr>
              <w:jc w:val="both"/>
            </w:pPr>
            <w:r w:rsidRPr="006B369F">
              <w:t>Размещение заказчиком в единой информационной системе и на электронной площадке подписанного контракта</w:t>
            </w:r>
          </w:p>
        </w:tc>
        <w:tc>
          <w:tcPr>
            <w:tcW w:w="3969" w:type="dxa"/>
            <w:gridSpan w:val="2"/>
          </w:tcPr>
          <w:p w:rsidR="0078138C" w:rsidRPr="006B369F" w:rsidRDefault="0078138C" w:rsidP="00523745">
            <w:pPr>
              <w:jc w:val="both"/>
            </w:pPr>
            <w:r w:rsidRPr="006B369F">
              <w:t>В течение трех рабочих дней с даты размещения на электронной площадке проекта контракта, подписанного усиленной электронной подписью лица, имеющего право действовать от имени победителя электронной процедуры</w:t>
            </w:r>
          </w:p>
        </w:tc>
        <w:tc>
          <w:tcPr>
            <w:tcW w:w="1979" w:type="dxa"/>
          </w:tcPr>
          <w:p w:rsidR="0078138C" w:rsidRPr="006B369F" w:rsidRDefault="0078138C" w:rsidP="00A66E62">
            <w:pPr>
              <w:jc w:val="center"/>
            </w:pPr>
          </w:p>
        </w:tc>
        <w:tc>
          <w:tcPr>
            <w:tcW w:w="3059" w:type="dxa"/>
          </w:tcPr>
          <w:p w:rsidR="0078138C" w:rsidRPr="006B369F" w:rsidRDefault="0078138C" w:rsidP="00A66E62">
            <w:pPr>
              <w:autoSpaceDE w:val="0"/>
              <w:autoSpaceDN w:val="0"/>
              <w:adjustRightInd w:val="0"/>
              <w:jc w:val="center"/>
            </w:pPr>
            <w:r w:rsidRPr="006B369F">
              <w:t>Статья 83.2 44-ФЗ</w:t>
            </w:r>
          </w:p>
        </w:tc>
      </w:tr>
    </w:tbl>
    <w:p w:rsidR="002E1866" w:rsidRPr="007761CC" w:rsidRDefault="002E1866" w:rsidP="002E18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1866" w:rsidRPr="00E76166" w:rsidRDefault="002E1866" w:rsidP="00B318AC">
      <w:pPr>
        <w:jc w:val="both"/>
        <w:rPr>
          <w:rFonts w:eastAsia="Calibri"/>
          <w:sz w:val="28"/>
          <w:szCs w:val="28"/>
        </w:rPr>
      </w:pPr>
      <w:r w:rsidRPr="00E76166">
        <w:rPr>
          <w:rFonts w:eastAsia="Calibri"/>
          <w:sz w:val="28"/>
          <w:szCs w:val="28"/>
        </w:rPr>
        <w:t>Применяемые сокращения:</w:t>
      </w:r>
    </w:p>
    <w:p w:rsidR="00DD500D" w:rsidRPr="00B318AC" w:rsidRDefault="002E1866" w:rsidP="00B318AC">
      <w:pPr>
        <w:jc w:val="both"/>
        <w:rPr>
          <w:rFonts w:eastAsia="Calibri"/>
          <w:sz w:val="28"/>
          <w:szCs w:val="28"/>
        </w:rPr>
      </w:pPr>
      <w:r w:rsidRPr="00E76166">
        <w:rPr>
          <w:sz w:val="28"/>
        </w:rPr>
        <w:t xml:space="preserve">44-ФЗ – Федеральный закон от 05.04.2013 №44-ФЗ </w:t>
      </w:r>
      <w:r w:rsidR="00B318AC">
        <w:rPr>
          <w:sz w:val="28"/>
        </w:rPr>
        <w:t>«</w:t>
      </w:r>
      <w:r w:rsidRPr="00E76166">
        <w:rPr>
          <w:sz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318AC">
        <w:rPr>
          <w:sz w:val="28"/>
        </w:rPr>
        <w:t>»</w:t>
      </w:r>
      <w:r w:rsidRPr="00E76166">
        <w:rPr>
          <w:sz w:val="28"/>
        </w:rPr>
        <w:t>.</w:t>
      </w:r>
    </w:p>
    <w:sectPr w:rsidR="00DD500D" w:rsidRPr="00B318AC" w:rsidSect="00194F50">
      <w:pgSz w:w="16838" w:h="11906" w:orient="landscape"/>
      <w:pgMar w:top="1418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EBB02DA"/>
    <w:multiLevelType w:val="hybridMultilevel"/>
    <w:tmpl w:val="348684E8"/>
    <w:lvl w:ilvl="0" w:tplc="1658A414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DE0AB7"/>
    <w:multiLevelType w:val="multilevel"/>
    <w:tmpl w:val="75A49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3">
    <w:nsid w:val="69CF6852"/>
    <w:multiLevelType w:val="hybridMultilevel"/>
    <w:tmpl w:val="E0B29988"/>
    <w:lvl w:ilvl="0" w:tplc="0406C1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1B54"/>
    <w:rsid w:val="00054710"/>
    <w:rsid w:val="0007365E"/>
    <w:rsid w:val="000E4030"/>
    <w:rsid w:val="00194F50"/>
    <w:rsid w:val="001D408B"/>
    <w:rsid w:val="00231B54"/>
    <w:rsid w:val="00274421"/>
    <w:rsid w:val="002A0BCD"/>
    <w:rsid w:val="002E1866"/>
    <w:rsid w:val="004839EA"/>
    <w:rsid w:val="004B5726"/>
    <w:rsid w:val="00523745"/>
    <w:rsid w:val="0078138C"/>
    <w:rsid w:val="00872033"/>
    <w:rsid w:val="0088075F"/>
    <w:rsid w:val="0089568B"/>
    <w:rsid w:val="009C3236"/>
    <w:rsid w:val="00A453B2"/>
    <w:rsid w:val="00AE5745"/>
    <w:rsid w:val="00B318AC"/>
    <w:rsid w:val="00BD70B5"/>
    <w:rsid w:val="00D65253"/>
    <w:rsid w:val="00D73B13"/>
    <w:rsid w:val="00DD500D"/>
    <w:rsid w:val="00DF3768"/>
    <w:rsid w:val="00E76166"/>
    <w:rsid w:val="00F06836"/>
    <w:rsid w:val="00F91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3441F-A23F-4A8B-9EB4-2CC036EE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54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B54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rsid w:val="00231B5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31B54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231B54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231B54"/>
    <w:rPr>
      <w:rFonts w:ascii="Times New Roman" w:hAnsi="Times New Roman" w:cs="Times New Roman"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BD70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2E1866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Nadein</cp:lastModifiedBy>
  <cp:revision>7</cp:revision>
  <dcterms:created xsi:type="dcterms:W3CDTF">2021-06-22T07:30:00Z</dcterms:created>
  <dcterms:modified xsi:type="dcterms:W3CDTF">2021-06-24T06:30:00Z</dcterms:modified>
</cp:coreProperties>
</file>